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bidi w:val="0"/>
        <w:spacing w:line="240" w:lineRule="auto"/>
        <w:ind w:left="0" w:right="0" w:firstLine="0"/>
        <w:jc w:val="center"/>
      </w:pPr>
      <w:bookmarkStart w:id="0" w:name="bookmark0"/>
      <w:r>
        <w:rPr>
          <w:rStyle w:val="CharStyle6"/>
          <w:b/>
          <w:bCs/>
        </w:rPr>
        <w:t>МИНИСТЕРСТВО ФИНАНСОВ РЕСПУБЛИКИ ДАГЕСТАН</w:t>
        <w:br/>
        <w:t>(МИНФИН РД)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tabs>
          <w:tab w:pos="7311" w:val="left"/>
        </w:tabs>
        <w:bidi w:val="0"/>
        <w:spacing w:before="0" w:after="0" w:line="240" w:lineRule="auto"/>
        <w:ind w:left="0" w:right="0" w:firstLine="260"/>
        <w:jc w:val="left"/>
      </w:pPr>
      <w:r>
        <w:rPr>
          <w:rStyle w:val="CharStyle8"/>
        </w:rPr>
        <w:t>367013, Республика Дагестан</w:t>
        <w:tab/>
        <w:t>тел. +7(8722) 67-38-58, 56-01-41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318" w:val="left"/>
        </w:tabs>
        <w:bidi w:val="0"/>
        <w:spacing w:before="0" w:after="660" w:line="240" w:lineRule="auto"/>
        <w:ind w:left="0" w:right="0" w:firstLine="260"/>
        <w:jc w:val="left"/>
      </w:pPr>
      <w:r>
        <w:rPr>
          <w:rStyle w:val="CharStyle8"/>
        </w:rPr>
        <w:t>г. Махачкала, пр-т Гамидова, 14</w:t>
        <w:tab/>
      </w:r>
      <w:r>
        <w:rPr>
          <w:rStyle w:val="CharStyle8"/>
          <w:lang w:val="en-US" w:eastAsia="en-US"/>
        </w:rPr>
        <w:t>web/e-mail: rninfin.e-</w:t>
      </w:r>
      <w:r>
        <w:rPr>
          <w:rStyle w:val="CharStyle8"/>
          <w:lang w:val="en-US" w:eastAsia="en-US"/>
        </w:rPr>
        <w:t>dag.ru</w:t>
      </w:r>
      <w:r>
        <w:rPr>
          <w:rStyle w:val="CharStyle8"/>
          <w:lang w:val="en-US" w:eastAsia="en-US"/>
        </w:rPr>
        <w:t xml:space="preserve">, </w:t>
      </w:r>
      <w:r>
        <w:fldChar w:fldCharType="begin"/>
      </w:r>
      <w:r>
        <w:rPr/>
        <w:instrText> HYPERLINK "mailto:minfin@e-dag.ru" </w:instrText>
      </w:r>
      <w:r>
        <w:fldChar w:fldCharType="separate"/>
      </w:r>
      <w:r>
        <w:rPr>
          <w:rStyle w:val="CharStyle8"/>
          <w:lang w:val="en-US" w:eastAsia="en-US"/>
        </w:rPr>
        <w:t>minfin@e-dag.ru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both"/>
      </w:pPr>
      <w:r>
        <w:rPr>
          <w:rStyle w:val="CharStyle3"/>
          <w:color w:val="1F1C48"/>
        </w:rPr>
        <w:t xml:space="preserve">&lt;ФО» </w:t>
      </w:r>
      <w:r>
        <w:rPr>
          <w:rStyle w:val="CharStyle3"/>
          <w:color w:val="1F1C48"/>
          <w:u w:val="single"/>
          <w:lang w:val="en-US" w:eastAsia="en-US"/>
        </w:rPr>
        <w:t>fl/#-tM</w:t>
      </w:r>
      <w:r>
        <w:rPr>
          <w:rStyle w:val="CharStyle3"/>
          <w:color w:val="1F1C48"/>
          <w:lang w:val="en-US" w:eastAsia="en-US"/>
        </w:rPr>
        <w:t xml:space="preserve"> </w:t>
      </w:r>
      <w:r>
        <w:rPr>
          <w:rStyle w:val="CharStyle3"/>
        </w:rPr>
        <w:t>2026 год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Style w:val="CharStyle3"/>
          <w:b/>
          <w:bCs/>
        </w:rPr>
        <w:t>ГКУ РД «Дирекция единого</w:t>
        <w:br/>
        <w:t>государственного заказчика-застройщика»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8"/>
        </w:rPr>
        <w:t>367032, РД, г Махачкала, ул. М. Гаджиева, 170</w:t>
        <w:br/>
      </w:r>
      <w:r>
        <w:rPr>
          <w:rStyle w:val="CharStyle8"/>
          <w:lang w:val="en-US" w:eastAsia="en-US"/>
        </w:rPr>
        <w:t xml:space="preserve">gku-tender@m ai </w:t>
      </w:r>
      <w:r>
        <w:rPr>
          <w:rStyle w:val="CharStyle8"/>
        </w:rPr>
        <w:t xml:space="preserve">1 </w:t>
      </w:r>
      <w:r>
        <w:rPr>
          <w:rStyle w:val="CharStyle8"/>
          <w:lang w:val="en-US" w:eastAsia="en-US"/>
        </w:rPr>
        <w:t>.ru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3"/>
          <w:b/>
          <w:bCs/>
        </w:rPr>
        <w:t>Комитет по государственным закупкам</w:t>
        <w:br/>
        <w:t>Республики Дагестан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8"/>
        </w:rPr>
        <w:t>367000, РД, г. Махачкала, ул. Абубакарова, 67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"mailto:zakupki@e-dag.ru" </w:instrText>
      </w:r>
      <w:r>
        <w:fldChar w:fldCharType="separate"/>
      </w:r>
      <w:r>
        <w:rPr>
          <w:rStyle w:val="CharStyle8"/>
          <w:lang w:val="en-US" w:eastAsia="en-US"/>
        </w:rPr>
        <w:t>zakupki@e-dag.ru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right"/>
      </w:pPr>
      <w:r>
        <w:rPr>
          <w:rStyle w:val="CharStyle3"/>
          <w:b/>
          <w:bCs/>
        </w:rPr>
        <w:t>ООО Строительная фирма «Прогресс»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40" w:line="288" w:lineRule="auto"/>
        <w:ind w:left="0" w:right="0" w:firstLine="0"/>
        <w:jc w:val="center"/>
      </w:pPr>
      <w:r>
        <w:rPr>
          <w:rStyle w:val="CharStyle8"/>
        </w:rPr>
        <w:t>368942, РД, Унцукульский р-н, с. Ирганай,</w:t>
        <w:br/>
        <w:t>ул. И. Шамиля, влд. 24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"mailto:sf.progress@mail.ru" </w:instrText>
      </w:r>
      <w:r>
        <w:fldChar w:fldCharType="separate"/>
      </w:r>
      <w:r>
        <w:rPr>
          <w:rStyle w:val="CharStyle8"/>
          <w:lang w:val="en-US" w:eastAsia="en-US"/>
        </w:rPr>
        <w:t>sf.progress@mail.ru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Решение № </w:t>
      </w:r>
      <w:r>
        <w:rPr>
          <w:rStyle w:val="CharStyle3"/>
          <w:i/>
          <w:iCs/>
          <w:color w:val="1F1C48"/>
          <w:u w:val="single"/>
        </w:rPr>
        <w:t xml:space="preserve">^3 </w:t>
      </w:r>
      <w:r>
        <w:rPr>
          <w:rStyle w:val="CharStyle3"/>
          <w:i/>
          <w:iCs/>
          <w:color w:val="1F1C48"/>
          <w:u w:val="single"/>
          <w:lang w:val="en-US" w:eastAsia="en-US"/>
        </w:rPr>
        <w:t>j^^</w:t>
      </w:r>
      <w:r>
        <w:rPr>
          <w:rStyle w:val="CharStyle3"/>
          <w:color w:val="1F1C48"/>
          <w:lang w:val="en-US" w:eastAsia="en-US"/>
        </w:rPr>
        <w:t xml:space="preserve"> </w:t>
      </w:r>
      <w:r>
        <w:rPr>
          <w:rStyle w:val="CharStyle3"/>
        </w:rPr>
        <w:t>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3"/>
        </w:rPr>
        <w:t>Комиссии Министерства финансов Республики Дагестан</w:t>
        <w:br/>
        <w:t>по рассмотрению жалоб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Комиссия Министерства финансов Республики Дагестан по рассмотрению жалоб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Председателя комиссии (ведущего заседание) - Кашкаева Фархада Дадиевича - заместитель начальника управления государственного финансового контроля - начальник отдела контроля в сфере закупок управления государственного финансового контроля Минфина РД;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Членов Комиссии: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3" w:val="left"/>
        </w:tabs>
        <w:bidi w:val="0"/>
        <w:spacing w:before="0" w:after="340" w:line="240" w:lineRule="auto"/>
        <w:ind w:left="0" w:right="0" w:firstLine="700"/>
        <w:jc w:val="left"/>
      </w:pPr>
      <w:r>
        <w:rPr>
          <w:rStyle w:val="CharStyle3"/>
        </w:rPr>
        <w:t>Раджабова Серажутдина Бадрутдиновича - консультант отдела контроля в сфере закупок управления государственного финансового контроля Минфина РД;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Курбанова Мажида Аммаевича - ведущий специалист-эксперт отдела контроля в сфере закупок управления государственного финансового контроля Минфина РД,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>рассмотрев жалобу общества с ограниченной ответственностью строительная фирма «Прогресс» (далее - Заявитель) на действия государственного казенного учреждения Республики Дагестан «Дирекция единого государственного заказчика- застройщика» (далее - Заказчик) при проведении Комитетом по государственным закупкам Республики Дагестан (далее - Уполномоченный орган) открытого конкурса в электронной форме с номером извещения 0103200008426001013 «Выполнение подрядных работ по строительству объекта: Водоснабжение с. Хазар Дербентского района Республики Дагестан» (Идентификационный код закупки 262057200666605720100100180010000414), в присутствие представителя Заявителя - Рамазанова Ахмеда Магомеднабиевича (по доверенности от 29 апреля 2026 года) и в отсутствие представителей Заказчика и Уполномоченного органа,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3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Министерство финансов Республики Дагестан 23 апреля 2026 года поступила жалоба Заявителя на действия Заказчика при проведении Уполномоченным органом открытого конкурса в электронной форме с номером извещения 0103200008426001013 «Выполнение подрядных работ по строительству объекта: Водоснабжение с. Хазар Дербентского района Республики Дагестан» (далее - открытый конкурс).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Исследовав представленную информацию и документы, проведя анализ информации, содержащейся в единой информационной системе в сфере закупок (далее - ЕИС), а также на электронной площадке ЭТИ Газпромбанк (далее - оператор электронной площадки) изучив возражения Уполномоченного органа, Комиссия 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3 марта 2026 года Уполномоченным органом в ЕИС было размещено извещение о проведении открытого конкурса, начальная (максимальная) цена контракта составляет - 201 264 867,15 рублей.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По мнению Заявителя, Заказчиком неправомерно объединены в один объект закупки выполнение работ и поставка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rStyle w:val="CharStyle3"/>
        </w:rPr>
        <w:t>Пунктом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пункту 8 части 1 статьи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Законом о контрактной системе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настоящим пунктом является надлежащим исполнением требований пунктов 1-3 части 1 статьи 33 Закона о контрактной системе, части 2 статьи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частью 63.1 статьи 112 Закона о контрактной системе до 1 января 2027 года в случае, если проектной документацией объекта капитального строительства предусмотрено оборудование, необходимое для обеспечения эксплуатации такого объекта, предметом контракта наряду с выполнением работ по строительству, реконструкции и (или) капитальному ремонту объекта капитального строительства может являться поставка данного оборудования. В контракте должны быть указаны раздельно: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стоимость работ по строительству, реконструкции и (или) капитальному ремонту объекта капитального строительства;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стоимость поставки предусмотренного проектной документацией объекта капитального строительства оборудования, необходимого для обеспечения эксплуатации такого объекта капитального строительства.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извещению о проведении открытого конкурса объектом закупки является выполнение работ по строительству объекта: «Водоснабжение с. Хазар Дербентского района Республики Дагестан», извещение об осуществлении закупки сформированное в структурированной форме содержит следующую информацию о товаре (оборудовании), поставляемом при выполнении работ по контракту: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Трансформаторы электрические;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Установка электрогенераторная;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Система водоподготовки бытового назначения;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Счетчик электроэнергии.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частью 4 статьи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Из приведённой нормы Закона о контрактной системе следует, что жалоба должна содержать доводы, свидетельствующие о нарушении Заказчиком, уполномоченным органом,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этом на рассмотрении жалобы Заявитель не представил доказательств, свидетельствующих о том, что указанное оборудование является немонтируемым и не относится к оборудованию, обеспечивающему эксплуатацию объекта капитального строительства.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 учетом изложенного, Комиссия приходит к выводу о необоснованности довода жалобы.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доводу жалобы, Заказчиком установлен порядок рассмотрения и оценки заявок несоответствующий требованиям Закона о контрактной системе, а именно неправомерно установлены предельные значения показателей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частью 4 статьи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Из приведённой нормы Закона о контрактной системе следует, что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Комиссией установлено, что в действующей на момент рассмотрения жалобы редакции извещения об осуществлении закупки отсутствуют обжалуемые Заявителем положения извещения, в том числе и предельные значения показателей.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рассмотрении жалобы Заявитель заявил об отзыве указанного довода жалобы, также, Заявителем не были представлены доказательства, свидетельствующие о том, что критерии оценки заявок, действующие на момент рассмотрения жалобы, ограничивают количество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довод жалобы признается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доводу Заявителя Заказчиком в Извещении неправомерно не установлена информация о казначейском сопровождении расчетов по контракту.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Пунктом 18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казначейском сопровождении (если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со статьей 242.25 Бюджетного кодекса Российской Федерации (далее - БК РФ) казначейскому сопровождению подлежат определенные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федеральным законом о федеральном бюджете средства, получаемые на основании государственных контрактов, договоров (соглашений), контрактов (договоров).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Пунктом 1 части 3 статьи 5 Федерального закона от 28 ноября 2025 года № 426-ФЗ «О федеральном бюджете на 2026 год и на плановый период 2027 и 2028 годов» установлено, что территориальные органы Федерального казначейства осуществляют в порядке, установленном Правительством Российской Федерации в соответствии с пунктом 3 статьи 242.23 Бюджетного кодекса Российской Федерации, казначейское сопровождение расчетов по государственным (муниципальным) контрактам о поставке товаров, выполнении работ, оказании услуг, заключаемым на сумму 100 000,0 тыс. рублей и более для обеспечения государственных нужд субъекта Российской Федерации (муниципальных нужд), расчетов по контрактам (договорам) о поставке товаров, выполнении работ, оказании услуг, заключаемым на сумму 10 000,0 тыс. рублей и более бюджетными и автономными учреждениями субъекта Российской Федерации (муниципальными бюджетными и автономными учреждениями), субсидий юридическим лицам (за исключением субсидий бюджетным и автономным учреждениям субъекта Российской Федерации и муниципальным бюджетным и автономным учреждениям), бюджетных инвестиций юридическим лицам, предоставляемых в соответствии со статьей 80 Бюджетного кодекса Российской Федерации, субсидий на финансовое обеспечение затрат в соответствии с концессионными соглашениями и соглашениями о государственно-частном партнерстве (муниципально-частном партнерстве), бюджетных инвестиций в соответствии с концессионными соглашениями, предоставляемых из бюджета субъекта Российской Федерации (местного бюджета), источником финансового обеспечения которых являются межбюджетные трансферты, имеющие целевое назначение, предоставляемые из федерального бюджета бюджету субъекта Российской Федерации, а также расчетов по контрактам (договорам) о поставке товаров, выполнении работ, оказании услуг, заключаемым на сумму более 3000,0 тыс. рублей исполнителями и соисполнителями в рамках исполнения указанных государственных (муниципальных)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инвестиций), концессионных соглашений, соглашений о государственно-частном партнерстве (муниципально-частном партнерстве).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Согласно пункту 2.1 проекта контракта закупки с номером извещения 0103200008426001013 источником финансирования являются средства республиканского бюджета.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Кроме того, согласно постановлению Правительства Республики Дагестан от 13 февраля 2026 года № 36 «О Республиканской инвестиционной программе на 2026 год и на плановый период 2027 и 2028 годов» строительство объекта капитального строительства: «Водоснабжение с. Хазар Дербентского района Республики Дагестан» осуществляется за счет средств республиканского бюджета.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Таким образом, Комиссия приходит к выводу о том, что установление требования о наличии казначейского сопровождения контракта не требуется.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Следовательно, довод жалобы признан необоснованным.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left"/>
      </w:pPr>
      <w:r>
        <w:rPr>
          <w:rStyle w:val="CharStyle3"/>
        </w:rPr>
        <w:t>Руководствуясь статьями 105,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left"/>
      </w:pPr>
      <w:r>
        <w:rPr>
          <w:rStyle w:val="CharStyle3"/>
        </w:rPr>
        <w:t>Жалобу Заявителя признать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700"/>
        <w:jc w:val="left"/>
      </w:pPr>
      <w:r>
        <w:rPr>
          <w:rStyle w:val="CharStyle3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3"/>
          <w:b/>
          <w:bCs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3"/>
          <w:b/>
          <w:bCs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600" w:firstLine="0"/>
        <w:jc w:val="right"/>
      </w:pPr>
      <w:r>
        <mc:AlternateContent>
          <mc:Choice Requires="wps">
            <w:drawing>
              <wp:anchor distT="0" distB="606425" distL="114300" distR="163195" simplePos="0" relativeHeight="125829378" behindDoc="0" locked="0" layoutInCell="1" allowOverlap="1">
                <wp:simplePos x="0" y="0"/>
                <wp:positionH relativeFrom="page">
                  <wp:posOffset>5531485</wp:posOffset>
                </wp:positionH>
                <wp:positionV relativeFrom="margin">
                  <wp:posOffset>2450465</wp:posOffset>
                </wp:positionV>
                <wp:extent cx="1176655" cy="2165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Ф.Д. Кашкаев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35.55000000000001pt;margin-top:192.95000000000002pt;width:92.650000000000006pt;height:17.050000000000001pt;z-index:-125829375;mso-wrap-distance-left:9.pt;mso-wrap-distance-right:12.85pt;mso-wrap-distance-bottom:47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Ф.Д. Кашкаев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06425" distB="0" distL="324485" distR="114935" simplePos="0" relativeHeight="125829380" behindDoc="0" locked="0" layoutInCell="1" allowOverlap="1">
                <wp:simplePos x="0" y="0"/>
                <wp:positionH relativeFrom="page">
                  <wp:posOffset>5741670</wp:posOffset>
                </wp:positionH>
                <wp:positionV relativeFrom="margin">
                  <wp:posOffset>3056890</wp:posOffset>
                </wp:positionV>
                <wp:extent cx="1014730" cy="2165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Б. Раджабов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52.10000000000002pt;margin-top:240.70000000000002pt;width:79.900000000000006pt;height:17.050000000000001pt;z-index:-125829373;mso-wrap-distance-left:25.550000000000001pt;mso-wrap-distance-top:47.75pt;mso-wrap-distance-right:9.05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Б. Раджабов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2727960</wp:posOffset>
            </wp:positionH>
            <wp:positionV relativeFrom="margin">
              <wp:posOffset>2179320</wp:posOffset>
            </wp:positionV>
            <wp:extent cx="2432050" cy="18592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432050" cy="18592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b/>
          <w:bCs/>
        </w:rPr>
        <w:t>М.А. Курбанов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159" w:right="554" w:bottom="1311" w:left="102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7115175</wp:posOffset>
              </wp:positionH>
              <wp:positionV relativeFrom="page">
                <wp:posOffset>10038715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0.25pt;margin-top:790.4500000000000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ing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ing #1"/>
    <w:basedOn w:val="Normal"/>
    <w:link w:val="CharStyle6"/>
    <w:pPr>
      <w:widowControl w:val="0"/>
      <w:shd w:val="clear" w:color="auto" w:fill="auto"/>
      <w:spacing w:before="600" w:after="22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50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