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1775460</wp:posOffset>
            </wp:positionH>
            <wp:positionV relativeFrom="paragraph">
              <wp:posOffset>12700</wp:posOffset>
            </wp:positionV>
            <wp:extent cx="536575" cy="615950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125829379" behindDoc="0" locked="0" layoutInCell="1" allowOverlap="1">
                <wp:simplePos x="0" y="0"/>
                <wp:positionH relativeFrom="page">
                  <wp:posOffset>720725</wp:posOffset>
                </wp:positionH>
                <wp:positionV relativeFrom="paragraph">
                  <wp:posOffset>716280</wp:posOffset>
                </wp:positionV>
                <wp:extent cx="2593975" cy="1755775"/>
                <wp:wrapSquare wrapText="bothSides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93975" cy="1755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5"/>
                                <w:b/>
                                <w:bCs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5"/>
                                <w:b/>
                                <w:bCs/>
                              </w:rPr>
                              <w:t>Федеральной антимонопольной службы</w:t>
                              <w:br/>
                              <w:t>по Оренбургской области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7"/>
                              </w:rPr>
                              <w:t>Адрес места нахождения: г. Оренбург, ул. Краснознаменная. 22</w:t>
                              <w:br/>
                              <w:t>Почтовый адрес: ул. 9 Января, 64, г. Оренбург, 460046</w:t>
                              <w:br/>
                              <w:t>тел. (3532) 78-66-17, факс (3532) 77-80-70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7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"mailto:to56@fas.gov.ru"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7"/>
                                <w:lang w:val="en-US" w:eastAsia="en-US"/>
                              </w:rPr>
                              <w:t>to56@fas.gov.ru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66" w:val="left"/>
                                <w:tab w:leader="underscore" w:pos="3926" w:val="left"/>
                              </w:tabs>
                              <w:bidi w:val="0"/>
                              <w:spacing w:before="0" w:after="160" w:line="271" w:lineRule="auto"/>
                              <w:ind w:left="0" w:right="0" w:firstLine="0"/>
                              <w:jc w:val="righ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CharStyle5"/>
                                <w:sz w:val="18"/>
                                <w:szCs w:val="18"/>
                              </w:rPr>
                              <w:tab/>
                              <w:t xml:space="preserve"> №</w:t>
                              <w:tab/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6.75pt;margin-top:56.399999999999999pt;width:204.25pt;height:138.25pt;z-index:-125829374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rStyle w:val="CharStyle5"/>
                          <w:b/>
                          <w:bCs/>
                        </w:rPr>
                        <w:t>УПРАВЛЕНИЕ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/>
                        <w:ind w:left="0" w:right="0" w:firstLine="0"/>
                        <w:jc w:val="center"/>
                      </w:pPr>
                      <w:r>
                        <w:rPr>
                          <w:rStyle w:val="CharStyle5"/>
                          <w:b/>
                          <w:bCs/>
                        </w:rPr>
                        <w:t>Федеральной антимонопольной службы</w:t>
                        <w:br/>
                        <w:t>по Оренбургской области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rStyle w:val="CharStyle7"/>
                        </w:rPr>
                        <w:t>Адрес места нахождения: г. Оренбург, ул. Краснознаменная. 22</w:t>
                        <w:br/>
                        <w:t>Почтовый адрес: ул. 9 Января, 64, г. Оренбург, 460046</w:t>
                        <w:br/>
                        <w:t>тел. (3532) 78-66-17, факс (3532) 77-80-70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/>
                        <w:ind w:left="0" w:right="0" w:firstLine="0"/>
                        <w:jc w:val="center"/>
                      </w:pPr>
                      <w:r>
                        <w:rPr>
                          <w:rStyle w:val="CharStyle7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"mailto:to56@fas.gov.ru"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7"/>
                          <w:lang w:val="en-US" w:eastAsia="en-US"/>
                        </w:rPr>
                        <w:t>to56@fas.gov.ru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66" w:val="left"/>
                          <w:tab w:leader="underscore" w:pos="3926" w:val="left"/>
                        </w:tabs>
                        <w:bidi w:val="0"/>
                        <w:spacing w:before="0" w:after="160" w:line="271" w:lineRule="auto"/>
                        <w:ind w:left="0" w:right="0" w:firstLine="0"/>
                        <w:jc w:val="righ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Style w:val="CharStyle5"/>
                          <w:sz w:val="18"/>
                          <w:szCs w:val="18"/>
                        </w:rPr>
                        <w:tab/>
                        <w:t xml:space="preserve"> №</w:t>
                        <w:tab/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drawing>
          <wp:anchor distT="435610" distB="0" distL="6350" distR="0" simplePos="0" relativeHeight="125829381" behindDoc="0" locked="0" layoutInCell="1" allowOverlap="1">
            <wp:simplePos x="0" y="0"/>
            <wp:positionH relativeFrom="page">
              <wp:posOffset>727075</wp:posOffset>
            </wp:positionH>
            <wp:positionV relativeFrom="paragraph">
              <wp:posOffset>3084195</wp:posOffset>
            </wp:positionV>
            <wp:extent cx="2597150" cy="182880"/>
            <wp:wrapSquare wrapText="bothSides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18288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720725</wp:posOffset>
                </wp:positionH>
                <wp:positionV relativeFrom="paragraph">
                  <wp:posOffset>2648585</wp:posOffset>
                </wp:positionV>
                <wp:extent cx="2593975" cy="137160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93975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1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CharStyle10"/>
                                <w:color w:val="486094"/>
                                <w:sz w:val="18"/>
                                <w:szCs w:val="18"/>
                              </w:rPr>
                              <w:t xml:space="preserve">На 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6.75pt;margin-top:208.55000000000001pt;width:204.25pt;height:10.800000000000001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1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Style w:val="CharStyle10"/>
                          <w:color w:val="486094"/>
                          <w:sz w:val="18"/>
                          <w:szCs w:val="18"/>
                        </w:rPr>
                        <w:t xml:space="preserve">На №  от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200" w:right="0" w:firstLine="0"/>
        <w:jc w:val="left"/>
      </w:pPr>
      <w:r>
        <w:rPr>
          <w:rStyle w:val="CharStyle13"/>
          <w:b/>
          <w:bCs/>
        </w:rPr>
        <w:t>Заявитель: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1200" w:right="0" w:firstLine="0"/>
        <w:jc w:val="left"/>
      </w:pPr>
      <w:r>
        <w:rPr>
          <w:rStyle w:val="CharStyle13"/>
        </w:rPr>
        <w:t>ООО «Охранная Организация Феникс- 2002»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1200" w:right="0" w:firstLine="0"/>
        <w:jc w:val="left"/>
      </w:pPr>
      <w:r>
        <w:rPr>
          <w:rStyle w:val="CharStyle13"/>
        </w:rPr>
        <w:t xml:space="preserve">460006, г. Оренбург, ул. Элеваторная, влд. 2, 507 </w:t>
      </w:r>
      <w:r>
        <w:rPr>
          <w:rStyle w:val="CharStyle13"/>
          <w:lang w:val="en-US" w:eastAsia="en-US"/>
        </w:rPr>
        <w:t>e-mail:</w:t>
      </w:r>
      <w:r>
        <w:fldChar w:fldCharType="begin"/>
      </w:r>
      <w:r>
        <w:rPr/>
        <w:instrText> HYPERLINK "mailto:sir.feni2012@yandex.ru" </w:instrText>
      </w:r>
      <w:r>
        <w:fldChar w:fldCharType="separate"/>
      </w:r>
      <w:r>
        <w:rPr>
          <w:rStyle w:val="CharStyle13"/>
          <w:lang w:val="en-US" w:eastAsia="en-US"/>
        </w:rPr>
        <w:t xml:space="preserve"> </w:t>
      </w:r>
      <w:r>
        <w:rPr>
          <w:rStyle w:val="CharStyle13"/>
          <w:color w:val="0000FF"/>
          <w:u w:val="single"/>
          <w:lang w:val="en-US" w:eastAsia="en-US"/>
        </w:rPr>
        <w:t>sir.feni2012@yandex.ru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200" w:right="0" w:firstLine="0"/>
        <w:jc w:val="left"/>
      </w:pPr>
      <w:r>
        <w:rPr>
          <w:rStyle w:val="CharStyle13"/>
          <w:b/>
          <w:bCs/>
        </w:rPr>
        <w:t>Заказчик: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1200" w:right="0" w:firstLine="0"/>
        <w:jc w:val="left"/>
      </w:pPr>
      <w:r>
        <w:rPr>
          <w:rStyle w:val="CharStyle13"/>
        </w:rPr>
        <w:t>Государственное бюджетное образовательное учреждение высшего образования «Оренбургский государственный институт искусств им. Л. и М. Ростроповичей»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200" w:right="0" w:firstLine="0"/>
        <w:jc w:val="left"/>
      </w:pPr>
      <w:r>
        <w:rPr>
          <w:rStyle w:val="CharStyle13"/>
        </w:rPr>
        <w:t>460014, г. Оренбург,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1200" w:right="0" w:firstLine="0"/>
        <w:jc w:val="both"/>
      </w:pPr>
      <w:r>
        <w:rPr>
          <w:rStyle w:val="CharStyle13"/>
        </w:rPr>
        <w:t xml:space="preserve">ул. Советская, д. 17 </w:t>
      </w:r>
      <w:r>
        <w:rPr>
          <w:rStyle w:val="CharStyle13"/>
          <w:lang w:val="en-US" w:eastAsia="en-US"/>
        </w:rPr>
        <w:t>e-mail:</w:t>
      </w:r>
      <w:r>
        <w:fldChar w:fldCharType="begin"/>
      </w:r>
      <w:r>
        <w:rPr/>
        <w:instrText> HYPERLINK "mailto:ogii@inbox.ru" </w:instrText>
      </w:r>
      <w:r>
        <w:fldChar w:fldCharType="separate"/>
      </w:r>
      <w:r>
        <w:rPr>
          <w:rStyle w:val="CharStyle13"/>
          <w:lang w:val="en-US" w:eastAsia="en-US"/>
        </w:rPr>
        <w:t xml:space="preserve"> </w:t>
      </w:r>
      <w:r>
        <w:rPr>
          <w:rStyle w:val="CharStyle13"/>
          <w:color w:val="0000FF"/>
          <w:u w:val="single"/>
          <w:lang w:val="en-US" w:eastAsia="en-US"/>
        </w:rPr>
        <w:t>ogii@inbox.ru</w:t>
      </w:r>
      <w:r>
        <w:fldChar w:fldCharType="end"/>
      </w:r>
      <w:r>
        <w:rPr>
          <w:rStyle w:val="CharStyle13"/>
          <w:color w:val="0000FF"/>
          <w:u w:val="single"/>
          <w:lang w:val="en-US" w:eastAsia="en-US"/>
        </w:rPr>
        <w:t xml:space="preserve"> </w:t>
      </w:r>
      <w:r>
        <w:fldChar w:fldCharType="begin"/>
      </w:r>
      <w:r>
        <w:rPr/>
        <w:instrText> HYPERLINK "mailto:orenart56@mail.ru" </w:instrText>
      </w:r>
      <w:r>
        <w:fldChar w:fldCharType="separate"/>
      </w:r>
      <w:r>
        <w:rPr>
          <w:rStyle w:val="CharStyle13"/>
          <w:color w:val="0000FF"/>
          <w:u w:val="single"/>
          <w:lang w:val="en-US" w:eastAsia="en-US"/>
        </w:rPr>
        <w:t>ore№art56@mail.ru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200" w:right="0" w:firstLine="0"/>
        <w:jc w:val="left"/>
      </w:pPr>
      <w:r>
        <w:rPr>
          <w:rStyle w:val="CharStyle13"/>
        </w:rPr>
        <w:t>Уполномоченный орган: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1200" w:right="0" w:firstLine="0"/>
        <w:jc w:val="left"/>
      </w:pPr>
      <w:r>
        <w:rPr>
          <w:rStyle w:val="CharStyle13"/>
        </w:rPr>
        <w:t>Государственное казенное учреждение Оренбургской области «Центр организации закупок»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1200" w:right="0" w:firstLine="0"/>
        <w:jc w:val="both"/>
      </w:pPr>
      <w:r>
        <w:rPr>
          <w:rStyle w:val="CharStyle13"/>
        </w:rPr>
        <w:t xml:space="preserve">460006, г. Оренбург, ул. Комсомольская, 122 </w:t>
      </w:r>
      <w:r>
        <w:rPr>
          <w:rStyle w:val="CharStyle13"/>
          <w:lang w:val="en-US" w:eastAsia="en-US"/>
        </w:rPr>
        <w:t xml:space="preserve">e-mail: </w:t>
      </w:r>
      <w:r>
        <w:fldChar w:fldCharType="begin"/>
      </w:r>
      <w:r>
        <w:rPr/>
        <w:instrText> HYPERLINK "mailto:coz@mail.orb.ru" </w:instrText>
      </w:r>
      <w:r>
        <w:fldChar w:fldCharType="separate"/>
      </w:r>
      <w:r>
        <w:rPr>
          <w:rStyle w:val="CharStyle13"/>
          <w:color w:val="0000FF"/>
          <w:u w:val="single"/>
          <w:lang w:val="en-US" w:eastAsia="en-US"/>
        </w:rPr>
        <w:t>coz@ mail.orb.ru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200" w:right="0" w:firstLine="0"/>
        <w:jc w:val="left"/>
      </w:pPr>
      <w:r>
        <w:rPr>
          <w:rStyle w:val="CharStyle13"/>
        </w:rPr>
        <w:t>Электронная площадка: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1200" w:right="0" w:firstLine="0"/>
        <w:jc w:val="left"/>
      </w:pPr>
      <w:r>
        <w:rPr>
          <w:rStyle w:val="CharStyle13"/>
        </w:rPr>
        <w:t xml:space="preserve">АО «Сбербанк-АСТ» </w:t>
      </w:r>
      <w:r>
        <w:rPr>
          <w:rStyle w:val="CharStyle13"/>
          <w:lang w:val="en-US" w:eastAsia="en-US"/>
        </w:rPr>
        <w:t xml:space="preserve">e-mail: </w:t>
      </w:r>
      <w:r>
        <w:fldChar w:fldCharType="begin"/>
      </w:r>
      <w:r>
        <w:rPr/>
        <w:instrText> HYPERLINK "mailto:ko@sberbank-ast.ru" </w:instrText>
      </w:r>
      <w:r>
        <w:fldChar w:fldCharType="separate"/>
      </w:r>
      <w:r>
        <w:rPr>
          <w:rStyle w:val="CharStyle13"/>
          <w:color w:val="0000FF"/>
          <w:u w:val="single"/>
          <w:lang w:val="en-US" w:eastAsia="en-US"/>
        </w:rPr>
        <w:t>ko@sberbank-ast.ru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-740" w:right="0" w:firstLine="1100"/>
        <w:jc w:val="left"/>
      </w:pPr>
      <w:r>
        <w:rPr>
          <w:rStyle w:val="CharStyle13"/>
        </w:rPr>
        <w:t>РЕШЕНИЕ по делу № 056/06/105-492/2026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hanging="4140"/>
        <w:jc w:val="left"/>
      </w:pPr>
      <w: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6304915</wp:posOffset>
                </wp:positionH>
                <wp:positionV relativeFrom="paragraph">
                  <wp:posOffset>12700</wp:posOffset>
                </wp:positionV>
                <wp:extent cx="838200" cy="234950"/>
                <wp:wrapSquare wrapText="lef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3820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3"/>
                              </w:rPr>
                              <w:t>г. Оренбург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496.44999999999999pt;margin-top:1.pt;width:66.pt;height:18.5pt;z-index:-12582937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3"/>
                        </w:rPr>
                        <w:t>г. Оренбург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3"/>
        </w:rPr>
        <w:t>29 апреля 2026 года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hanging="4140"/>
        <w:jc w:val="left"/>
      </w:pPr>
      <w:r>
        <w:rPr>
          <w:rStyle w:val="CharStyle13"/>
        </w:rPr>
        <w:t>Резолютивная часть решения оглашена 29 апреля 2026 года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hanging="4140"/>
        <w:jc w:val="left"/>
      </w:pPr>
      <w:r>
        <w:rPr>
          <w:rStyle w:val="CharStyle13"/>
        </w:rPr>
        <w:t>Решение в полном объеме изготовлено 04 мая 2026 года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-4140" w:right="0" w:firstLine="740"/>
        <w:jc w:val="left"/>
      </w:pPr>
      <w:r>
        <w:rPr>
          <w:rStyle w:val="CharStyle13"/>
        </w:rPr>
        <w:t>Комиссия Оренбургского УФАС России по контролю в сфере осуществления закупок (далее – Комиссия Оренбургского УФАС России) в составе:</w:t>
      </w:r>
    </w:p>
    <w:p>
      <w:pPr>
        <w:pStyle w:val="Style19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left"/>
        <w:sectPr>
          <w:footerReference w:type="default" r:id="rId9"/>
          <w:footnotePr>
            <w:pos w:val="pageBottom"/>
            <w:numFmt w:val="decimal"/>
            <w:numRestart w:val="continuous"/>
          </w:footnotePr>
          <w:pgSz w:w="11900" w:h="16840"/>
          <w:pgMar w:top="279" w:right="613" w:bottom="1217" w:left="5234" w:header="0" w:footer="3" w:gutter="0"/>
          <w:pgNumType w:start="1"/>
          <w:cols w:space="720"/>
          <w:noEndnote/>
          <w:rtlGutter w:val="0"/>
          <w:docGrid w:linePitch="360"/>
        </w:sectPr>
      </w:pPr>
      <w:bookmarkStart w:id="0" w:name="bookmark0"/>
      <w:r>
        <w:rPr>
          <w:rStyle w:val="CharStyle20"/>
        </w:rPr>
        <w:t>1IIIIIIIIIIIIIIIIIIIIIII</w:t>
      </w:r>
      <w:bookmarkEnd w:id="0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Председателя Комиссии: Н.Ю. Решетовой, членов Комиссии: Е.С. Масюковой, Т.Ю Терешиной,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в присутствии посредством видео-конференц-связи представителей: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ООО «Охранное предприятие «Феникс-2002» </w:t>
      </w:r>
      <w:r>
        <w:rPr>
          <w:rStyle w:val="CharStyle13"/>
          <w:lang w:val="en-US" w:eastAsia="en-US"/>
        </w:rPr>
        <w:t xml:space="preserve">– </w:t>
      </w:r>
      <w:r>
        <w:rPr>
          <w:rStyle w:val="CharStyle13"/>
        </w:rPr>
        <w:t>Бахориной М.Е. (на основании доверенности),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ГБОУ ВО «Оренбургский государственный институт искусств им. Л. И М Ростроповичей» </w:t>
      </w:r>
      <w:r>
        <w:rPr>
          <w:rStyle w:val="CharStyle13"/>
          <w:lang w:val="en-US" w:eastAsia="en-US"/>
        </w:rPr>
        <w:t xml:space="preserve">– </w:t>
      </w:r>
      <w:r>
        <w:rPr>
          <w:rStyle w:val="CharStyle13"/>
        </w:rPr>
        <w:t>И.П. Захаровой (на основании доверенности),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в отсутствие представителей ГКУ Оренбургской области «Центр организации закупок»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>о дате, времени и месте рассмотрения жалобы уведомлены надлежащим образом,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13"/>
        </w:rPr>
        <w:t xml:space="preserve">рассмотрев жалобу ООО «Охранное предприятие «Феникс-2002» на действия ГБОУ ВО «Оренбургский государственный институт искусств им. Л. и М. Ростроповичей» при проведении запроса котировок в электронной форме на оказание охранных услуг (номер извещения </w:t>
      </w:r>
      <w:r>
        <w:rPr>
          <w:rStyle w:val="CharStyle13"/>
          <w:lang w:val="en-US" w:eastAsia="en-US"/>
        </w:rPr>
        <w:t>0853500000326002529),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13"/>
        </w:rPr>
        <w:t>УСТАНОВИЛА: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В Оренбургское УФАС России поступила жалоба </w:t>
      </w:r>
      <w:r>
        <w:rPr>
          <w:rStyle w:val="CharStyle13"/>
          <w:lang w:val="en-US" w:eastAsia="en-US"/>
        </w:rPr>
        <w:t xml:space="preserve">(№ 20260010663400039 </w:t>
      </w:r>
      <w:r>
        <w:rPr>
          <w:rStyle w:val="CharStyle13"/>
        </w:rPr>
        <w:t xml:space="preserve">от </w:t>
      </w:r>
      <w:r>
        <w:rPr>
          <w:rStyle w:val="CharStyle13"/>
          <w:lang w:val="en-US" w:eastAsia="en-US"/>
        </w:rPr>
        <w:t xml:space="preserve">22.04.2026, </w:t>
      </w:r>
      <w:r>
        <w:rPr>
          <w:rStyle w:val="CharStyle13"/>
        </w:rPr>
        <w:t xml:space="preserve">вх. </w:t>
      </w:r>
      <w:r>
        <w:rPr>
          <w:rStyle w:val="CharStyle13"/>
          <w:lang w:val="en-US" w:eastAsia="en-US"/>
        </w:rPr>
        <w:t xml:space="preserve">№ 5169/26 </w:t>
      </w:r>
      <w:r>
        <w:rPr>
          <w:rStyle w:val="CharStyle13"/>
        </w:rPr>
        <w:t xml:space="preserve">от </w:t>
      </w:r>
      <w:r>
        <w:rPr>
          <w:rStyle w:val="CharStyle13"/>
          <w:lang w:val="en-US" w:eastAsia="en-US"/>
        </w:rPr>
        <w:t xml:space="preserve">22.04.2026) </w:t>
      </w:r>
      <w:r>
        <w:rPr>
          <w:rStyle w:val="CharStyle13"/>
        </w:rPr>
        <w:t xml:space="preserve">ООО «Охранное предприятие «Феникс-2002» (далее </w:t>
      </w:r>
      <w:r>
        <w:rPr>
          <w:rStyle w:val="CharStyle13"/>
          <w:lang w:val="en-US" w:eastAsia="en-US"/>
        </w:rPr>
        <w:t xml:space="preserve">– </w:t>
      </w:r>
      <w:r>
        <w:rPr>
          <w:rStyle w:val="CharStyle13"/>
        </w:rPr>
        <w:t xml:space="preserve">Заявитель, Общество) на действия ГБОУ ВО «Оренбургский государственный институт искусств им. Л. И М. Ростроповичей» (далее </w:t>
      </w:r>
      <w:r>
        <w:rPr>
          <w:rStyle w:val="CharStyle13"/>
          <w:lang w:val="en-US" w:eastAsia="en-US"/>
        </w:rPr>
        <w:t xml:space="preserve">– </w:t>
      </w:r>
      <w:r>
        <w:rPr>
          <w:rStyle w:val="CharStyle13"/>
        </w:rPr>
        <w:t xml:space="preserve">Заказчик) при проведении запроса котировок в электронной форме на оказание охранных услуг (извещение </w:t>
      </w:r>
      <w:r>
        <w:rPr>
          <w:rStyle w:val="CharStyle13"/>
          <w:lang w:val="en-US" w:eastAsia="en-US"/>
        </w:rPr>
        <w:t>№ 0853500000326002529).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В связи с поступившей жалобой, в порядке ч. </w:t>
      </w:r>
      <w:r>
        <w:rPr>
          <w:rStyle w:val="CharStyle13"/>
          <w:lang w:val="en-US" w:eastAsia="en-US"/>
        </w:rPr>
        <w:t xml:space="preserve">7 </w:t>
      </w:r>
      <w:r>
        <w:rPr>
          <w:rStyle w:val="CharStyle13"/>
        </w:rPr>
        <w:t xml:space="preserve">ст. </w:t>
      </w:r>
      <w:r>
        <w:rPr>
          <w:rStyle w:val="CharStyle13"/>
          <w:lang w:val="en-US" w:eastAsia="en-US"/>
        </w:rPr>
        <w:t xml:space="preserve">106 </w:t>
      </w:r>
      <w:r>
        <w:rPr>
          <w:rStyle w:val="CharStyle13"/>
        </w:rPr>
        <w:t xml:space="preserve">Федерального закона от </w:t>
      </w:r>
      <w:r>
        <w:rPr>
          <w:rStyle w:val="CharStyle13"/>
          <w:lang w:val="en-US" w:eastAsia="en-US"/>
        </w:rPr>
        <w:t xml:space="preserve">05.04.2013 № </w:t>
      </w:r>
      <w:r>
        <w:rPr>
          <w:rStyle w:val="CharStyle13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3"/>
          <w:lang w:val="en-US" w:eastAsia="en-US"/>
        </w:rPr>
        <w:t xml:space="preserve">– </w:t>
      </w:r>
      <w:r>
        <w:rPr>
          <w:rStyle w:val="CharStyle13"/>
        </w:rPr>
        <w:t>Закон о контрактной системе), Заказчику, ГКУ Оренбургской области «Центр организации закупок» (Уполномоченному органу) выставлено требование о приостановлении осуществления закупки в части заключения контракта до рассмотрения жалобы по существу.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Присутствующий на рассмотрении дела представитель Заявителя поддержал доводы жалобы в полном объеме, указав, что начальная максимальная цена контракта сформирована Заказчиком с нарушением требований Приказа Росгвардии от </w:t>
      </w:r>
      <w:r>
        <w:rPr>
          <w:rStyle w:val="CharStyle13"/>
          <w:lang w:val="en-US" w:eastAsia="en-US"/>
        </w:rPr>
        <w:t xml:space="preserve">15.02.2021 № 45 </w:t>
      </w:r>
      <w:r>
        <w:rPr>
          <w:rStyle w:val="CharStyle13"/>
        </w:rPr>
        <w:t xml:space="preserve">«Об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охранных услуг». Кроме того, по мнению Заявителя, описание объекта закупки носит необъективный характер, поскольку в техническом задании содержатся разночтения относительно количества постов охраны, отсутствуют четкие требования к видам и количеству специальных средств охраны. Также, Заявитель указывает, в проекте контракта неправомерно установлены требования в соответствии со ст. </w:t>
      </w:r>
      <w:r>
        <w:rPr>
          <w:rStyle w:val="CharStyle13"/>
          <w:lang w:val="en-US" w:eastAsia="en-US"/>
        </w:rPr>
        <w:t xml:space="preserve">37 </w:t>
      </w:r>
      <w:r>
        <w:rPr>
          <w:rStyle w:val="CharStyle13"/>
        </w:rPr>
        <w:t>Закона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13"/>
        </w:rPr>
        <w:t xml:space="preserve">Представитель Заказчика поддержал письменные пояснения на жалобу, отметив, что начальная максимальная цена контракта установлена с учетом лимитов денежных средств, выделенных бюджетному учреждению. Описание объекта закупки сформировано в соответствии с требованиями законодательства о контрактной системе, в том числе с учетом ГОСТа Р </w:t>
      </w:r>
      <w:r>
        <w:rPr>
          <w:rStyle w:val="CharStyle13"/>
          <w:lang w:val="en-US" w:eastAsia="en-US"/>
        </w:rPr>
        <w:t xml:space="preserve">58485-2024. </w:t>
      </w:r>
      <w:r>
        <w:rPr>
          <w:rStyle w:val="CharStyle13"/>
        </w:rPr>
        <w:t xml:space="preserve">Наличие в проекте контракта положений ст. </w:t>
      </w:r>
      <w:r>
        <w:rPr>
          <w:rStyle w:val="CharStyle13"/>
          <w:lang w:val="en-US" w:eastAsia="en-US"/>
        </w:rPr>
        <w:t xml:space="preserve">37 </w:t>
      </w:r>
      <w:r>
        <w:rPr>
          <w:rStyle w:val="CharStyle13"/>
        </w:rPr>
        <w:t xml:space="preserve">Закона о контрактной системе, предусмотрено типовым контрактом, утвержденным </w:t>
      </w:r>
      <w:r>
        <w:rPr>
          <w:rStyle w:val="CharStyle13"/>
          <w:color w:val="22272F"/>
        </w:rPr>
        <w:t xml:space="preserve">Приказом Федеральной службы войск национальной гвардии РФ от </w:t>
      </w:r>
      <w:r>
        <w:rPr>
          <w:rStyle w:val="CharStyle13"/>
          <w:color w:val="22272F"/>
          <w:lang w:val="en-US" w:eastAsia="en-US"/>
        </w:rPr>
        <w:t xml:space="preserve">1 </w:t>
      </w:r>
      <w:r>
        <w:rPr>
          <w:rStyle w:val="CharStyle13"/>
          <w:color w:val="22272F"/>
        </w:rPr>
        <w:t xml:space="preserve">июня </w:t>
      </w:r>
      <w:r>
        <w:rPr>
          <w:rStyle w:val="CharStyle13"/>
          <w:color w:val="22272F"/>
          <w:lang w:val="en-US" w:eastAsia="en-US"/>
        </w:rPr>
        <w:t xml:space="preserve">2020 </w:t>
      </w:r>
      <w:r>
        <w:rPr>
          <w:rStyle w:val="CharStyle13"/>
          <w:color w:val="22272F"/>
        </w:rPr>
        <w:t xml:space="preserve">г. </w:t>
      </w:r>
      <w:r>
        <w:rPr>
          <w:rStyle w:val="CharStyle13"/>
          <w:color w:val="22272F"/>
          <w:lang w:val="en-US" w:eastAsia="en-US"/>
        </w:rPr>
        <w:t xml:space="preserve">№ 149 </w:t>
      </w:r>
      <w:r>
        <w:rPr>
          <w:rStyle w:val="CharStyle13"/>
          <w:color w:val="22272F"/>
        </w:rPr>
        <w:t>«Об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3"/>
          <w:color w:val="22272F"/>
        </w:rPr>
        <w:t>утверждении типового контракта на оказание охранных услуг и информационной карты типового контракта на оказание охранных услуг».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В результате рассмотрения жалобы и осуществления в соответствии с ч. </w:t>
      </w:r>
      <w:r>
        <w:rPr>
          <w:rStyle w:val="CharStyle13"/>
          <w:lang w:val="en-US" w:eastAsia="en-US"/>
        </w:rPr>
        <w:t xml:space="preserve">3 </w:t>
      </w:r>
      <w:r>
        <w:rPr>
          <w:rStyle w:val="CharStyle13"/>
        </w:rPr>
        <w:t xml:space="preserve">ст. </w:t>
      </w:r>
      <w:r>
        <w:rPr>
          <w:rStyle w:val="CharStyle13"/>
          <w:lang w:val="en-US" w:eastAsia="en-US"/>
        </w:rPr>
        <w:t xml:space="preserve">99 </w:t>
      </w:r>
      <w:r>
        <w:rPr>
          <w:rStyle w:val="CharStyle13"/>
        </w:rPr>
        <w:t>Закона о контрактной системе внеплановой проверки Комиссия Оренбургского УФАС России, проанализировав представленные документы, заслушав доводы сторон, пришла к следующим выводам: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  <w:lang w:val="en-US" w:eastAsia="en-US"/>
        </w:rPr>
        <w:t xml:space="preserve">15.04.2026 </w:t>
      </w:r>
      <w:r>
        <w:rPr>
          <w:rStyle w:val="CharStyle13"/>
        </w:rPr>
        <w:t xml:space="preserve">на официальном сайте Российской Федерации (единая информационная система) для размещения информации о размещении закупок в сети Интернет </w:t>
      </w:r>
      <w:r>
        <w:fldChar w:fldCharType="begin"/>
      </w:r>
      <w:r>
        <w:rPr/>
        <w:instrText> HYPERLINK "http://www.zakupki.gov.ru" </w:instrText>
      </w:r>
      <w:r>
        <w:fldChar w:fldCharType="separate"/>
      </w:r>
      <w:r>
        <w:rPr>
          <w:rStyle w:val="CharStyle13"/>
          <w:lang w:val="en-US" w:eastAsia="en-US"/>
        </w:rPr>
        <w:t>www.zakupki.gov.ru</w:t>
      </w:r>
      <w:r>
        <w:fldChar w:fldCharType="end"/>
      </w:r>
      <w:r>
        <w:rPr>
          <w:rStyle w:val="CharStyle13"/>
          <w:lang w:val="en-US" w:eastAsia="en-US"/>
        </w:rPr>
        <w:t xml:space="preserve"> </w:t>
      </w:r>
      <w:r>
        <w:rPr>
          <w:rStyle w:val="CharStyle13"/>
        </w:rPr>
        <w:t xml:space="preserve">и на электронной площадке было размещено извещение о проведении запроса котировок в электронной форме на оказание охранных услуг (извещение </w:t>
      </w:r>
      <w:r>
        <w:rPr>
          <w:rStyle w:val="CharStyle13"/>
          <w:lang w:val="en-US" w:eastAsia="en-US"/>
        </w:rPr>
        <w:t>№ 0853500000326002529).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Начальная максимальная цена контракта составляет </w:t>
      </w:r>
      <w:r>
        <w:rPr>
          <w:rStyle w:val="CharStyle13"/>
          <w:lang w:val="en-US" w:eastAsia="en-US"/>
        </w:rPr>
        <w:t xml:space="preserve">4 774 560,00 </w:t>
      </w:r>
      <w:r>
        <w:rPr>
          <w:rStyle w:val="CharStyle13"/>
        </w:rPr>
        <w:t>рублей.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Согласно ч. </w:t>
      </w:r>
      <w:r>
        <w:rPr>
          <w:rStyle w:val="CharStyle13"/>
          <w:lang w:val="en-US" w:eastAsia="en-US"/>
        </w:rPr>
        <w:t xml:space="preserve">3 </w:t>
      </w:r>
      <w:r>
        <w:rPr>
          <w:rStyle w:val="CharStyle13"/>
        </w:rPr>
        <w:t xml:space="preserve">ст. </w:t>
      </w:r>
      <w:r>
        <w:rPr>
          <w:rStyle w:val="CharStyle13"/>
          <w:lang w:val="en-US" w:eastAsia="en-US"/>
        </w:rPr>
        <w:t xml:space="preserve">7 </w:t>
      </w:r>
      <w:r>
        <w:rPr>
          <w:rStyle w:val="CharStyle13"/>
        </w:rPr>
        <w:t>Закона о контрактной системе информация, предусмотренная настоящим Федеральным законом и размещенная в единой информационной системе, должна быть полной и достоверной.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Согласно ч.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ст. </w:t>
      </w:r>
      <w:r>
        <w:rPr>
          <w:rStyle w:val="CharStyle13"/>
          <w:lang w:val="en-US" w:eastAsia="en-US"/>
        </w:rPr>
        <w:t xml:space="preserve">8 </w:t>
      </w:r>
      <w:r>
        <w:rPr>
          <w:rStyle w:val="CharStyle13"/>
        </w:rPr>
        <w:t>Закона о контрактной системе контрактная система в сфере закупок направлена на создание равных условий для обеспечения конкуренции между участниками закупок.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(подрядчиком, исполнителем).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Согласно ч.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ст. </w:t>
      </w:r>
      <w:r>
        <w:rPr>
          <w:rStyle w:val="CharStyle13"/>
          <w:lang w:val="en-US" w:eastAsia="en-US"/>
        </w:rPr>
        <w:t xml:space="preserve">50 </w:t>
      </w:r>
      <w:r>
        <w:rPr>
          <w:rStyle w:val="CharStyle13"/>
        </w:rPr>
        <w:t xml:space="preserve">Закона о контрактной системе электронный запрос котировок начинается с размещения в Единой информационной системе извещения об осуществлении закупки. Заявка на участие в закупке должна содержать информацию и документы, предусмотренные подпунктами «м»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 xml:space="preserve">«п» пункта </w:t>
      </w:r>
      <w:r>
        <w:rPr>
          <w:rStyle w:val="CharStyle13"/>
          <w:lang w:val="en-US" w:eastAsia="en-US"/>
        </w:rPr>
        <w:t xml:space="preserve">1, </w:t>
      </w:r>
      <w:r>
        <w:rPr>
          <w:rStyle w:val="CharStyle13"/>
        </w:rPr>
        <w:t xml:space="preserve">подпунктами «а»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 xml:space="preserve">«в» пункта </w:t>
      </w:r>
      <w:r>
        <w:rPr>
          <w:rStyle w:val="CharStyle13"/>
          <w:lang w:val="en-US" w:eastAsia="en-US"/>
        </w:rPr>
        <w:t xml:space="preserve">2, </w:t>
      </w:r>
      <w:r>
        <w:rPr>
          <w:rStyle w:val="CharStyle13"/>
        </w:rPr>
        <w:t xml:space="preserve">пунктом </w:t>
      </w:r>
      <w:r>
        <w:rPr>
          <w:rStyle w:val="CharStyle13"/>
          <w:lang w:val="en-US" w:eastAsia="en-US"/>
        </w:rPr>
        <w:t xml:space="preserve">3 </w:t>
      </w:r>
      <w:r>
        <w:rPr>
          <w:rStyle w:val="CharStyle13"/>
        </w:rPr>
        <w:t xml:space="preserve">или пунктом </w:t>
      </w:r>
      <w:r>
        <w:rPr>
          <w:rStyle w:val="CharStyle13"/>
          <w:lang w:val="en-US" w:eastAsia="en-US"/>
        </w:rPr>
        <w:t xml:space="preserve">4, </w:t>
      </w:r>
      <w:r>
        <w:rPr>
          <w:rStyle w:val="CharStyle13"/>
        </w:rPr>
        <w:t xml:space="preserve">пунктом </w:t>
      </w:r>
      <w:r>
        <w:rPr>
          <w:rStyle w:val="CharStyle13"/>
          <w:lang w:val="en-US" w:eastAsia="en-US"/>
        </w:rPr>
        <w:t xml:space="preserve">5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43 </w:t>
      </w:r>
      <w:r>
        <w:rPr>
          <w:rStyle w:val="CharStyle13"/>
        </w:rPr>
        <w:t xml:space="preserve">настоящего Федерального закона. Заявка также может содержать информацию и документы, предусмотренные подпунктом «д» пункта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43 </w:t>
      </w:r>
      <w:r>
        <w:rPr>
          <w:rStyle w:val="CharStyle13"/>
        </w:rPr>
        <w:t>настоящего Федерального закона.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Согласно п. </w:t>
      </w:r>
      <w:r>
        <w:rPr>
          <w:rStyle w:val="CharStyle13"/>
          <w:lang w:val="en-US" w:eastAsia="en-US"/>
        </w:rPr>
        <w:t xml:space="preserve">7 </w:t>
      </w:r>
      <w:r>
        <w:rPr>
          <w:rStyle w:val="CharStyle13"/>
        </w:rPr>
        <w:t xml:space="preserve">ч.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ст. </w:t>
      </w:r>
      <w:r>
        <w:rPr>
          <w:rStyle w:val="CharStyle13"/>
          <w:lang w:val="en-US" w:eastAsia="en-US"/>
        </w:rPr>
        <w:t xml:space="preserve">42 </w:t>
      </w:r>
      <w:r>
        <w:rPr>
          <w:rStyle w:val="CharStyle13"/>
        </w:rPr>
        <w:t xml:space="preserve">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информацию: информация об объеме (за исключением случая, предусмотренного частью </w:t>
      </w:r>
      <w:r>
        <w:rPr>
          <w:rStyle w:val="CharStyle13"/>
          <w:lang w:val="en-US" w:eastAsia="en-US"/>
        </w:rPr>
        <w:t xml:space="preserve">24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22 </w:t>
      </w:r>
      <w:r>
        <w:rPr>
          <w:rStyle w:val="CharStyle13"/>
        </w:rPr>
        <w:t>настоящего Федерального закона), о единице измерения (при наличии) и месте выполнения работы или оказания услуги.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В соответствии с ч.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ст. </w:t>
      </w:r>
      <w:r>
        <w:rPr>
          <w:rStyle w:val="CharStyle13"/>
          <w:lang w:val="en-US" w:eastAsia="en-US"/>
        </w:rPr>
        <w:t xml:space="preserve">42 </w:t>
      </w:r>
      <w:r>
        <w:rPr>
          <w:rStyle w:val="CharStyle13"/>
        </w:rPr>
        <w:t>Закона о контрактной системе извещение об осуществлении закупки, если иное не предусмотрено настоящим Федеральным законом, должно содержать следующие электронные документы: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описание объекта закупки в соответствии со статьей </w:t>
      </w:r>
      <w:r>
        <w:rPr>
          <w:rStyle w:val="CharStyle13"/>
          <w:lang w:val="en-US" w:eastAsia="en-US"/>
        </w:rPr>
        <w:t xml:space="preserve">33 </w:t>
      </w:r>
      <w:r>
        <w:rPr>
          <w:rStyle w:val="CharStyle13"/>
        </w:rPr>
        <w:t>настоящего Федерального закона;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обоснование начальной (максимальной) цены контракта. Заказчик, осуществляющий деятельность на территории иностранного государства, также указывает информацию о валюте, используемой для определения и обоснования начальной (максимальной) цены контракта, для оплаты поставленного товара, выполненной работы, оказанной услуги, и порядок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поставленного товара, выполненной работы, оказанной услуги;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требования к содержанию, составу заявки на участие в закупке в соответствии с настоящим Федеральным законом и инструкция по ее заполнению. При этом не допускается установление требований, влекущих за собой ограничение количества участников закупки;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порядок рассмотрения и оценки заявок на участие в конкурсах в соответствии с настоящим Федеральным законом;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72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проект контракта.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Из извещения о проведении запроса котировок следует, что объектом закупки является оказание охранных услуг.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Постановлением Правительства РФ от </w:t>
      </w:r>
      <w:r>
        <w:rPr>
          <w:rStyle w:val="CharStyle13"/>
          <w:lang w:val="en-US" w:eastAsia="en-US"/>
        </w:rPr>
        <w:t xml:space="preserve">08.02.2017 № 145 </w:t>
      </w:r>
      <w:r>
        <w:rPr>
          <w:rStyle w:val="CharStyle13"/>
        </w:rPr>
        <w:t xml:space="preserve">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 (далее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 xml:space="preserve">Постановление Правительства РФ от </w:t>
      </w:r>
      <w:r>
        <w:rPr>
          <w:rStyle w:val="CharStyle13"/>
          <w:lang w:val="en-US" w:eastAsia="en-US"/>
        </w:rPr>
        <w:t xml:space="preserve">08.02.2017 № 145) </w:t>
      </w:r>
      <w:r>
        <w:rPr>
          <w:rStyle w:val="CharStyle13"/>
        </w:rPr>
        <w:t xml:space="preserve">утверждены правила использования каталога товаров, работ, услуг для обеспечения государственных и муниципальных нужд (далее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>Правила).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Согласно п. </w:t>
      </w:r>
      <w:r>
        <w:rPr>
          <w:rStyle w:val="CharStyle13"/>
          <w:lang w:val="en-US" w:eastAsia="en-US"/>
        </w:rPr>
        <w:t xml:space="preserve">4 </w:t>
      </w:r>
      <w:r>
        <w:rPr>
          <w:rStyle w:val="CharStyle13"/>
        </w:rPr>
        <w:t xml:space="preserve">Правил заказчики обязаны применять информацию, включенную в позицию каталога в соответствии с подпунктами «а»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 xml:space="preserve">«г» и «е»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 xml:space="preserve">«з» пункта </w:t>
      </w:r>
      <w:r>
        <w:rPr>
          <w:rStyle w:val="CharStyle13"/>
          <w:lang w:val="en-US" w:eastAsia="en-US"/>
        </w:rPr>
        <w:t xml:space="preserve">10 </w:t>
      </w:r>
      <w:r>
        <w:rPr>
          <w:rStyle w:val="CharStyle13"/>
        </w:rPr>
        <w:t>Правил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1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наименование товара, работы, услуги;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2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единицы измерения количества товара, объема выполняемой работы, оказываемой услуги (при наличии);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2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описание товара, работы, услуги (при наличии такого описания в позиции).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23"/>
        </w:rPr>
        <w:t xml:space="preserve">Извещением </w:t>
      </w:r>
      <w:r>
        <w:rPr>
          <w:rStyle w:val="CharStyle23"/>
          <w:lang w:val="en-US" w:eastAsia="en-US"/>
        </w:rPr>
        <w:t xml:space="preserve">№ 0853500000326002529 </w:t>
      </w:r>
      <w:r>
        <w:rPr>
          <w:rStyle w:val="CharStyle23"/>
        </w:rPr>
        <w:t xml:space="preserve">установлено, что объект закупки- Услуги частной охраны (Выставление поста охраны) Идентификатор: </w:t>
      </w:r>
      <w:r>
        <w:rPr>
          <w:rStyle w:val="CharStyle23"/>
          <w:lang w:val="en-US" w:eastAsia="en-US"/>
        </w:rPr>
        <w:t xml:space="preserve">211305919, </w:t>
      </w:r>
      <w:r>
        <w:rPr>
          <w:rStyle w:val="CharStyle23"/>
        </w:rPr>
        <w:t xml:space="preserve">Код позиции </w:t>
      </w:r>
      <w:r>
        <w:rPr>
          <w:rStyle w:val="CharStyle23"/>
          <w:lang w:val="en-US" w:eastAsia="en-US"/>
        </w:rPr>
        <w:t>- 80.10.12.000-00000002.</w:t>
      </w:r>
    </w:p>
    <w:tbl>
      <w:tblPr>
        <w:tblOverlap w:val="never"/>
        <w:jc w:val="center"/>
        <w:tblLayout w:type="fixed"/>
      </w:tblPr>
      <w:tblGrid>
        <w:gridCol w:w="2059"/>
        <w:gridCol w:w="2064"/>
        <w:gridCol w:w="2064"/>
        <w:gridCol w:w="3994"/>
      </w:tblGrid>
      <w:tr>
        <w:trPr>
          <w:trHeight w:val="136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5"/>
              </w:rPr>
              <w:t>Наименование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5"/>
              </w:rPr>
              <w:t>Значение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5"/>
              </w:rPr>
              <w:t>Инструкция по заполнению характеристики в заявке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5"/>
              </w:rPr>
              <w:t>Обоснование включения дополнительной информации в сведения о товаре, работе, услуге</w:t>
            </w:r>
          </w:p>
        </w:tc>
      </w:tr>
      <w:tr>
        <w:trPr>
          <w:trHeight w:val="188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5"/>
              </w:rPr>
              <w:t>Наличие оружия у сотрудников охраны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5"/>
              </w:rPr>
              <w:t>Нет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5"/>
              </w:rPr>
              <w:t>Значение характеристики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89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5"/>
              </w:rPr>
              <w:t>Виды специальных средств охраны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5"/>
              </w:rPr>
              <w:t>Палка резиновая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5"/>
              </w:rPr>
              <w:t>Значение характеристики не может изменяться участником закупки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03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5"/>
              </w:rPr>
              <w:t>Наручники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701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5"/>
              </w:rPr>
              <w:t>Бронежилет защитный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403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5"/>
              </w:rPr>
              <w:t>Шлем защитный</w:t>
            </w:r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  <w:tr>
        <w:trPr>
          <w:trHeight w:val="701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5"/>
              </w:rPr>
              <w:t>Дополнительная характеристика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5"/>
              </w:rPr>
              <w:t>Более подробное описание в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5"/>
              </w:rPr>
              <w:t>Значение характеристики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5"/>
              </w:rPr>
              <w:t>В связи с требованиями, установленными Постановлением</w:t>
            </w:r>
          </w:p>
        </w:tc>
      </w:tr>
    </w:tbl>
    <w:p>
      <w:pPr>
        <w:sectPr>
          <w:footerReference w:type="default" r:id="rId10"/>
          <w:footnotePr>
            <w:pos w:val="pageBottom"/>
            <w:numFmt w:val="decimal"/>
            <w:numRestart w:val="continuous"/>
          </w:footnotePr>
          <w:pgSz w:w="11900" w:h="16840"/>
          <w:pgMar w:top="1088" w:right="543" w:bottom="1133" w:left="1105" w:header="660" w:footer="3" w:gutter="0"/>
          <w:cols w:space="720"/>
          <w:noEndnote/>
          <w:rtlGutter w:val="0"/>
          <w:docGrid w:linePitch="360"/>
        </w:sectPr>
      </w:pPr>
    </w:p>
    <w:tbl>
      <w:tblPr>
        <w:tblOverlap w:val="never"/>
        <w:jc w:val="center"/>
        <w:tblLayout w:type="fixed"/>
      </w:tblPr>
      <w:tblGrid>
        <w:gridCol w:w="2059"/>
        <w:gridCol w:w="2064"/>
        <w:gridCol w:w="2064"/>
        <w:gridCol w:w="3994"/>
      </w:tblGrid>
      <w:tr>
        <w:trPr>
          <w:trHeight w:val="10272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5"/>
              </w:rPr>
              <w:t>Техническом задании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5"/>
              </w:rPr>
              <w:t>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5"/>
              </w:rPr>
              <w:t xml:space="preserve">Правительства РФ от </w:t>
            </w:r>
            <w:r>
              <w:rPr>
                <w:rStyle w:val="CharStyle25"/>
                <w:lang w:val="en-US" w:eastAsia="en-US"/>
              </w:rPr>
              <w:t xml:space="preserve">7 </w:t>
            </w:r>
            <w:r>
              <w:rPr>
                <w:rStyle w:val="CharStyle25"/>
              </w:rPr>
              <w:t xml:space="preserve">ноября </w:t>
            </w:r>
            <w:r>
              <w:rPr>
                <w:rStyle w:val="CharStyle25"/>
                <w:lang w:val="en-US" w:eastAsia="en-US"/>
              </w:rPr>
              <w:t xml:space="preserve">2019 </w:t>
            </w:r>
            <w:r>
              <w:rPr>
                <w:rStyle w:val="CharStyle25"/>
              </w:rPr>
              <w:t xml:space="preserve">г. </w:t>
            </w:r>
            <w:r>
              <w:rPr>
                <w:rStyle w:val="CharStyle25"/>
                <w:lang w:val="en-US" w:eastAsia="en-US"/>
              </w:rPr>
              <w:t xml:space="preserve">№ 1421 </w:t>
            </w:r>
            <w:r>
              <w:rPr>
                <w:rStyle w:val="CharStyle25"/>
              </w:rPr>
              <w:t xml:space="preserve">«Об утверждении требований к антитеррористической защищенности объектов (территорий) Министерства науки и высшего образования Российской Федерации и подведомственных ему организаций, объектов (территорий), относящихся к сфере деятельности Министерства науки и высшего образования Российской Федерации, формы паспорта безопасности этих объектов (территорий) и признании утратившими силу некоторых актов Правительства Российской Федерации» (с изменениями и дополнениями), Законом РФ от </w:t>
            </w:r>
            <w:r>
              <w:rPr>
                <w:rStyle w:val="CharStyle25"/>
                <w:lang w:val="en-US" w:eastAsia="en-US"/>
              </w:rPr>
              <w:t xml:space="preserve">11 </w:t>
            </w:r>
            <w:r>
              <w:rPr>
                <w:rStyle w:val="CharStyle25"/>
              </w:rPr>
              <w:t xml:space="preserve">марта </w:t>
            </w:r>
            <w:r>
              <w:rPr>
                <w:rStyle w:val="CharStyle25"/>
                <w:lang w:val="en-US" w:eastAsia="en-US"/>
              </w:rPr>
              <w:t xml:space="preserve">1992 </w:t>
            </w:r>
            <w:r>
              <w:rPr>
                <w:rStyle w:val="CharStyle25"/>
              </w:rPr>
              <w:t xml:space="preserve">г. </w:t>
            </w:r>
            <w:r>
              <w:rPr>
                <w:rStyle w:val="CharStyle25"/>
                <w:lang w:val="en-US" w:eastAsia="en-US"/>
              </w:rPr>
              <w:t xml:space="preserve">№ 2487-I </w:t>
            </w:r>
            <w:r>
              <w:rPr>
                <w:rStyle w:val="CharStyle25"/>
              </w:rPr>
              <w:t xml:space="preserve">«О частной детективной и охранной деятельности в Российской Федерации», профессиональным стандартом «Работник по обеспечению охраны образовательных организаций» (утв. приказом Министерства труда и социальной защиты РФ от </w:t>
            </w:r>
            <w:r>
              <w:rPr>
                <w:rStyle w:val="CharStyle25"/>
                <w:lang w:val="en-US" w:eastAsia="en-US"/>
              </w:rPr>
              <w:t xml:space="preserve">11 </w:t>
            </w:r>
            <w:r>
              <w:rPr>
                <w:rStyle w:val="CharStyle25"/>
              </w:rPr>
              <w:t xml:space="preserve">декабря </w:t>
            </w:r>
            <w:r>
              <w:rPr>
                <w:rStyle w:val="CharStyle25"/>
                <w:lang w:val="en-US" w:eastAsia="en-US"/>
              </w:rPr>
              <w:t xml:space="preserve">2015 </w:t>
            </w:r>
            <w:r>
              <w:rPr>
                <w:rStyle w:val="CharStyle25"/>
              </w:rPr>
              <w:t xml:space="preserve">г. </w:t>
            </w:r>
            <w:r>
              <w:rPr>
                <w:rStyle w:val="CharStyle25"/>
                <w:lang w:val="en-US" w:eastAsia="en-US"/>
              </w:rPr>
              <w:t xml:space="preserve">№ </w:t>
            </w:r>
            <w:r>
              <w:rPr>
                <w:rStyle w:val="CharStyle25"/>
              </w:rPr>
              <w:t xml:space="preserve">1010н). ГОСТ Р </w:t>
            </w:r>
            <w:r>
              <w:rPr>
                <w:rStyle w:val="CharStyle25"/>
                <w:lang w:val="en-US" w:eastAsia="en-US"/>
              </w:rPr>
              <w:t xml:space="preserve">58485-2024 </w:t>
            </w:r>
            <w:r>
              <w:rPr>
                <w:rStyle w:val="CharStyle25"/>
              </w:rPr>
              <w:t>Обеспечение безопасности образовательных организаций.</w:t>
            </w:r>
          </w:p>
        </w:tc>
      </w:tr>
    </w:tbl>
    <w:p>
      <w:pPr>
        <w:widowControl w:val="0"/>
        <w:spacing w:after="259" w:line="1" w:lineRule="exact"/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Техническим заданием к извещению </w:t>
      </w:r>
      <w:r>
        <w:rPr>
          <w:rStyle w:val="CharStyle13"/>
          <w:lang w:val="en-US" w:eastAsia="en-US"/>
        </w:rPr>
        <w:t xml:space="preserve">№ 0853500000326002529 </w:t>
      </w:r>
      <w:r>
        <w:rPr>
          <w:rStyle w:val="CharStyle13"/>
        </w:rPr>
        <w:t>установлено: «Основные характеристики: Виды специальных средств охраны-Бронежилет защитный, Шлем защитный, Наручники, Палка резиновая.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Наличие оружия у сотрудников охраны </w:t>
      </w:r>
      <w:r>
        <w:rPr>
          <w:rStyle w:val="CharStyle13"/>
          <w:lang w:val="en-US" w:eastAsia="en-US"/>
        </w:rPr>
        <w:t xml:space="preserve">– </w:t>
      </w:r>
      <w:r>
        <w:rPr>
          <w:rStyle w:val="CharStyle13"/>
        </w:rPr>
        <w:t>нет.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Дополнительные характеристики: «Требования к услуге»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  <w:rPr>
          <w:sz w:val="24"/>
          <w:szCs w:val="24"/>
        </w:rPr>
        <w:sectPr>
          <w:footerReference w:type="default" r:id="rId11"/>
          <w:footnotePr>
            <w:pos w:val="pageBottom"/>
            <w:numFmt w:val="decimal"/>
            <w:numRestart w:val="continuous"/>
          </w:footnotePr>
          <w:pgSz w:w="11900" w:h="16840"/>
          <w:pgMar w:top="1134" w:right="545" w:bottom="617" w:left="1101" w:header="706" w:footer="189" w:gutter="0"/>
          <w:cols w:space="720"/>
          <w:noEndnote/>
          <w:rtlGutter w:val="0"/>
          <w:docGrid w:linePitch="360"/>
        </w:sectPr>
      </w:pPr>
      <w:r>
        <w:rPr>
          <w:rStyle w:val="CharStyle13"/>
        </w:rPr>
        <w:t xml:space="preserve">Частная охранная организация должна иметь в наличии средства индивидуальной бронезащиты и служебное оружие в режиме усиления охраны в количестве из расчета </w:t>
      </w:r>
      <w:r>
        <w:rPr>
          <w:rStyle w:val="CharStyle13"/>
          <w:lang w:val="en-US" w:eastAsia="en-US"/>
        </w:rPr>
        <w:t xml:space="preserve">15 % </w:t>
      </w:r>
      <w:r>
        <w:rPr>
          <w:rStyle w:val="CharStyle13"/>
        </w:rPr>
        <w:t xml:space="preserve">от числа охранников образовательной организации: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 xml:space="preserve">бронежилет защитный;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 xml:space="preserve">шлем защитный;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 xml:space="preserve">служебное оружие. Основания и условия для введения режимов усиления охраны, а также должностных лиц, полномочных принимать решение на их введение предоставляются. Для обеспечения пропускного и внутриобъектового режимов и охраны имущества образовательной организации должны быть специальные средства (палка резиновая и наручники), разрешенные в частной охранной деятельности. Охранники </w:t>
      </w:r>
      <w:r>
        <w:rPr>
          <w:rStyle w:val="CharStyle13"/>
          <w:sz w:val="24"/>
          <w:szCs w:val="24"/>
          <w:lang w:val="en-US" w:eastAsia="en-US"/>
        </w:rPr>
        <w:t>2026-4151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3"/>
        </w:rPr>
        <w:t xml:space="preserve">образовательной организации, должны иметь документ, подтверждающий прохождение дополнительной подготовки, и (или) свидетельство о квалификации, соответствующей требованиям профессиональных стандартов в сфере обеспечения безопасности образовательных организаций.». Обоснование применения доп. характеристики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 xml:space="preserve">Соответствие ГОСТ Р </w:t>
      </w:r>
      <w:r>
        <w:rPr>
          <w:rStyle w:val="CharStyle13"/>
          <w:lang w:val="en-US" w:eastAsia="en-US"/>
        </w:rPr>
        <w:t>58485-2024.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Пунктом </w:t>
      </w:r>
      <w:r>
        <w:rPr>
          <w:rStyle w:val="CharStyle13"/>
          <w:lang w:val="en-US" w:eastAsia="en-US"/>
        </w:rPr>
        <w:t xml:space="preserve">4.2 </w:t>
      </w:r>
      <w:r>
        <w:rPr>
          <w:rStyle w:val="CharStyle13"/>
        </w:rPr>
        <w:t xml:space="preserve">ГОСТ Р </w:t>
      </w:r>
      <w:r>
        <w:rPr>
          <w:rStyle w:val="CharStyle13"/>
          <w:lang w:val="en-US" w:eastAsia="en-US"/>
        </w:rPr>
        <w:t xml:space="preserve">58485-2024 </w:t>
      </w:r>
      <w:r>
        <w:rPr>
          <w:rStyle w:val="CharStyle13"/>
        </w:rPr>
        <w:t xml:space="preserve">определено, что охрана объектов образования может быть осуществлена частными охранными организациями, указанными в </w:t>
      </w:r>
      <w:r>
        <w:rPr>
          <w:rStyle w:val="CharStyle13"/>
          <w:lang w:val="en-US" w:eastAsia="en-US"/>
        </w:rPr>
        <w:t xml:space="preserve">1.3, </w:t>
      </w:r>
      <w:r>
        <w:rPr>
          <w:rStyle w:val="CharStyle13"/>
        </w:rPr>
        <w:t>на основании договоров на оказание охранных услуг с образовательными организациями и технического задания на оказание охранных услуг.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Охрану объектов образования следует осуществлять путем оказания охранных услуг по обеспечению пропускного и внутриобъектового режимов на объектах образования и по охране имущества образовательной организации.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Объекты образования должны быть оборудованы инженерными средствами защиты и техническими средствами охраны в соответствии с требованиями законодательства Российской Федерации.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В договоре на оказание охранных услуг надлежит указывать основания и условия для введения режимов усиления охраны, а также должностных лиц, полномочных принимать решение на их введение.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Согласно п. </w:t>
      </w:r>
      <w:r>
        <w:rPr>
          <w:rStyle w:val="CharStyle13"/>
          <w:lang w:val="en-US" w:eastAsia="en-US"/>
        </w:rPr>
        <w:t xml:space="preserve">4.5. </w:t>
      </w:r>
      <w:r>
        <w:rPr>
          <w:rStyle w:val="CharStyle13"/>
        </w:rPr>
        <w:t xml:space="preserve">ГОСТ Р </w:t>
      </w:r>
      <w:r>
        <w:rPr>
          <w:rStyle w:val="CharStyle13"/>
          <w:lang w:val="en-US" w:eastAsia="en-US"/>
        </w:rPr>
        <w:t xml:space="preserve">58485-2024, </w:t>
      </w:r>
      <w:r>
        <w:rPr>
          <w:rStyle w:val="CharStyle13"/>
        </w:rPr>
        <w:t xml:space="preserve">частная охранная организация должна иметь в наличии средства индивидуальной бронезащиты и служебное оружие для обеспечения договоров на оказание охранных услуг в режиме усиления охраны в количестве из расчета </w:t>
      </w:r>
      <w:r>
        <w:rPr>
          <w:rStyle w:val="CharStyle13"/>
          <w:lang w:val="en-US" w:eastAsia="en-US"/>
        </w:rPr>
        <w:t xml:space="preserve">15% </w:t>
      </w:r>
      <w:r>
        <w:rPr>
          <w:rStyle w:val="CharStyle13"/>
        </w:rPr>
        <w:t>от числа штатных охранников образовательной организации (работников по обеспечению охраны образовательных организаций):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6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бронежилет (жилет защитный) не ниже 2-го класса защиты (класса не ниже Бр2) отечественного производства.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Примечание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 xml:space="preserve">Требования по классификации применены по ГОСТ </w:t>
      </w:r>
      <w:r>
        <w:rPr>
          <w:rStyle w:val="CharStyle13"/>
          <w:lang w:val="en-US" w:eastAsia="en-US"/>
        </w:rPr>
        <w:t>34286;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6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бронешлем (шлем защитный) не ниже 2-го класса защиты (класса не ниже Бр2) отечественного производства.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Примечание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 xml:space="preserve">Требования по классификации применены по ГОСТ </w:t>
      </w:r>
      <w:r>
        <w:rPr>
          <w:rStyle w:val="CharStyle13"/>
          <w:lang w:val="en-US" w:eastAsia="en-US"/>
        </w:rPr>
        <w:t>34286;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61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служебное оружие.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Согласно открытым сведениям ЕИС, позиция КТРУ </w:t>
      </w:r>
      <w:r>
        <w:rPr>
          <w:rStyle w:val="CharStyle13"/>
          <w:lang w:val="en-US" w:eastAsia="en-US"/>
        </w:rPr>
        <w:t xml:space="preserve">80.10.12.000-00000002 </w:t>
      </w:r>
      <w:r>
        <w:rPr>
          <w:rStyle w:val="CharStyle13"/>
        </w:rPr>
        <w:t xml:space="preserve">«Услуги частной охраны (Выставление поста охраны)» в редакции от </w:t>
      </w:r>
      <w:r>
        <w:rPr>
          <w:rStyle w:val="CharStyle13"/>
          <w:lang w:val="en-US" w:eastAsia="en-US"/>
        </w:rPr>
        <w:t xml:space="preserve">18.03.2026, </w:t>
      </w:r>
      <w:r>
        <w:rPr>
          <w:rStyle w:val="CharStyle13"/>
        </w:rPr>
        <w:t>по наименованию обязательной характеристики «Виды специальных средств охраны» имеет значение характеристики: «Не используется, Бронежилет защитный, Шлем защитный, Наручники, Палка резиновая».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Комиссия Оренбургского УФАС России отмечает, что здание Заказчика относится к категории образовательных учреждений, является социально значимым и подлежащим высокому уровню защиты от наступления возможных негативных последствий, в том числе, в рамках осуществления мероприятия по антитеррористической защищенности, в связи с чем Заказчиком обосновано включены в техническое задание дополнительные характеристики к оказанию услуг.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Вместе с тем, Комиссией Оренбургского УФАС России установлено, что в Техническом задании содержится информация: «Количество постов на объектах </w:t>
      </w:r>
      <w:r>
        <w:rPr>
          <w:rStyle w:val="CharStyle13"/>
          <w:lang w:val="en-US" w:eastAsia="en-US"/>
        </w:rPr>
        <w:t xml:space="preserve">– 6 </w:t>
      </w:r>
      <w:r>
        <w:rPr>
          <w:rStyle w:val="CharStyle13"/>
        </w:rPr>
        <w:t xml:space="preserve">(шесть). Количество охранников на посту </w:t>
      </w:r>
      <w:r>
        <w:rPr>
          <w:rStyle w:val="CharStyle13"/>
          <w:lang w:val="en-US" w:eastAsia="en-US"/>
        </w:rPr>
        <w:t xml:space="preserve">- 1 </w:t>
      </w:r>
      <w:r>
        <w:rPr>
          <w:rStyle w:val="CharStyle13"/>
        </w:rPr>
        <w:t>(один) человек, оснащенный спецсредствами защиты».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При этом, согласно извещению </w:t>
      </w:r>
      <w:r>
        <w:rPr>
          <w:rStyle w:val="CharStyle13"/>
          <w:lang w:val="en-US" w:eastAsia="en-US"/>
        </w:rPr>
        <w:t xml:space="preserve">№ 0853500000326002529, </w:t>
      </w:r>
      <w:r>
        <w:rPr>
          <w:rStyle w:val="CharStyle13"/>
        </w:rPr>
        <w:t xml:space="preserve">проекту контракта и Техническому заданию, охране подлежат следующие </w:t>
      </w:r>
      <w:r>
        <w:rPr>
          <w:rStyle w:val="CharStyle13"/>
          <w:lang w:val="en-US" w:eastAsia="en-US"/>
        </w:rPr>
        <w:t xml:space="preserve">4 </w:t>
      </w:r>
      <w:r>
        <w:rPr>
          <w:rStyle w:val="CharStyle13"/>
        </w:rPr>
        <w:t>объекта:</w:t>
      </w:r>
    </w:p>
    <w:p>
      <w:pPr>
        <w:pStyle w:val="Style1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6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Учебный корпус </w:t>
      </w:r>
      <w:r>
        <w:rPr>
          <w:rStyle w:val="CharStyle13"/>
          <w:lang w:val="en-US" w:eastAsia="en-US"/>
        </w:rPr>
        <w:t xml:space="preserve">№ 1, </w:t>
      </w:r>
      <w:r>
        <w:rPr>
          <w:rStyle w:val="CharStyle13"/>
        </w:rPr>
        <w:t xml:space="preserve">г. Оренбург ул. Советская, </w:t>
      </w:r>
      <w:r>
        <w:rPr>
          <w:rStyle w:val="CharStyle13"/>
          <w:lang w:val="en-US" w:eastAsia="en-US"/>
        </w:rPr>
        <w:t xml:space="preserve">17. </w:t>
      </w:r>
      <w:r>
        <w:rPr>
          <w:rStyle w:val="CharStyle13"/>
        </w:rPr>
        <w:t xml:space="preserve">Здание и территория учебного корпуса: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пост </w:t>
      </w:r>
      <w:r>
        <w:rPr>
          <w:rStyle w:val="CharStyle13"/>
          <w:lang w:val="en-US" w:eastAsia="en-US"/>
        </w:rPr>
        <w:t xml:space="preserve">– </w:t>
      </w:r>
      <w:r>
        <w:rPr>
          <w:rStyle w:val="CharStyle13"/>
        </w:rPr>
        <w:t xml:space="preserve">круглосуточный, </w:t>
      </w:r>
      <w:r>
        <w:rPr>
          <w:rStyle w:val="CharStyle13"/>
          <w:lang w:val="en-US" w:eastAsia="en-US"/>
        </w:rPr>
        <w:t xml:space="preserve">24 </w:t>
      </w:r>
      <w:r>
        <w:rPr>
          <w:rStyle w:val="CharStyle13"/>
        </w:rPr>
        <w:t xml:space="preserve">часа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>требуется один охранник на пост;</w:t>
      </w:r>
    </w:p>
    <w:p>
      <w:pPr>
        <w:pStyle w:val="Style1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6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Учебный корпус </w:t>
      </w:r>
      <w:r>
        <w:rPr>
          <w:rStyle w:val="CharStyle13"/>
          <w:lang w:val="en-US" w:eastAsia="en-US"/>
        </w:rPr>
        <w:t xml:space="preserve">№ 2, </w:t>
      </w:r>
      <w:r>
        <w:rPr>
          <w:rStyle w:val="CharStyle13"/>
        </w:rPr>
        <w:t xml:space="preserve">г. Оренбург ул. Ленинская, </w:t>
      </w:r>
      <w:r>
        <w:rPr>
          <w:rStyle w:val="CharStyle13"/>
          <w:lang w:val="en-US" w:eastAsia="en-US"/>
        </w:rPr>
        <w:t xml:space="preserve">27: 1 </w:t>
      </w:r>
      <w:r>
        <w:rPr>
          <w:rStyle w:val="CharStyle13"/>
        </w:rPr>
        <w:t xml:space="preserve">пост </w:t>
      </w:r>
      <w:r>
        <w:rPr>
          <w:rStyle w:val="CharStyle13"/>
          <w:lang w:val="en-US" w:eastAsia="en-US"/>
        </w:rPr>
        <w:t xml:space="preserve">– </w:t>
      </w:r>
      <w:r>
        <w:rPr>
          <w:rStyle w:val="CharStyle13"/>
        </w:rPr>
        <w:t xml:space="preserve">круглосуточный </w:t>
      </w:r>
      <w:r>
        <w:rPr>
          <w:rStyle w:val="CharStyle13"/>
          <w:lang w:val="en-US" w:eastAsia="en-US"/>
        </w:rPr>
        <w:t xml:space="preserve">24 </w:t>
      </w:r>
      <w:r>
        <w:rPr>
          <w:rStyle w:val="CharStyle13"/>
        </w:rPr>
        <w:t>часа- требуется один охранник на пост;</w:t>
      </w:r>
    </w:p>
    <w:p>
      <w:pPr>
        <w:pStyle w:val="Style1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6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Учебный корпус </w:t>
      </w:r>
      <w:r>
        <w:rPr>
          <w:rStyle w:val="CharStyle13"/>
          <w:lang w:val="en-US" w:eastAsia="en-US"/>
        </w:rPr>
        <w:t xml:space="preserve">№ 3, </w:t>
      </w:r>
      <w:r>
        <w:rPr>
          <w:rStyle w:val="CharStyle13"/>
        </w:rPr>
        <w:t xml:space="preserve">г. Оренбург ул. Профсоюзная, </w:t>
      </w:r>
      <w:r>
        <w:rPr>
          <w:rStyle w:val="CharStyle13"/>
          <w:lang w:val="en-US" w:eastAsia="en-US"/>
        </w:rPr>
        <w:t xml:space="preserve">15. </w:t>
      </w:r>
      <w:r>
        <w:rPr>
          <w:rStyle w:val="CharStyle13"/>
        </w:rPr>
        <w:t xml:space="preserve">Помещения учебного корпуса: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пост </w:t>
      </w:r>
      <w:r>
        <w:rPr>
          <w:rStyle w:val="CharStyle13"/>
          <w:lang w:val="en-US" w:eastAsia="en-US"/>
        </w:rPr>
        <w:t xml:space="preserve">– </w:t>
      </w:r>
      <w:r>
        <w:rPr>
          <w:rStyle w:val="CharStyle13"/>
        </w:rPr>
        <w:t xml:space="preserve">круглосуточный, </w:t>
      </w:r>
      <w:r>
        <w:rPr>
          <w:rStyle w:val="CharStyle13"/>
          <w:lang w:val="en-US" w:eastAsia="en-US"/>
        </w:rPr>
        <w:t xml:space="preserve">24 </w:t>
      </w:r>
      <w:r>
        <w:rPr>
          <w:rStyle w:val="CharStyle13"/>
        </w:rPr>
        <w:t xml:space="preserve">часа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>требуется один охранник на пост;</w:t>
      </w:r>
    </w:p>
    <w:p>
      <w:pPr>
        <w:pStyle w:val="Style1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6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Общежитие, г. Оренбург ул. Гагарина, </w:t>
      </w:r>
      <w:r>
        <w:rPr>
          <w:rStyle w:val="CharStyle13"/>
          <w:lang w:val="en-US" w:eastAsia="en-US"/>
        </w:rPr>
        <w:t xml:space="preserve">7: 1 </w:t>
      </w:r>
      <w:r>
        <w:rPr>
          <w:rStyle w:val="CharStyle13"/>
        </w:rPr>
        <w:t xml:space="preserve">пост </w:t>
      </w:r>
      <w:r>
        <w:rPr>
          <w:rStyle w:val="CharStyle13"/>
          <w:lang w:val="en-US" w:eastAsia="en-US"/>
        </w:rPr>
        <w:t xml:space="preserve">– </w:t>
      </w:r>
      <w:r>
        <w:rPr>
          <w:rStyle w:val="CharStyle13"/>
        </w:rPr>
        <w:t xml:space="preserve">круглосуточный, </w:t>
      </w:r>
      <w:r>
        <w:rPr>
          <w:rStyle w:val="CharStyle13"/>
          <w:lang w:val="en-US" w:eastAsia="en-US"/>
        </w:rPr>
        <w:t xml:space="preserve">24 </w:t>
      </w:r>
      <w:r>
        <w:rPr>
          <w:rStyle w:val="CharStyle13"/>
        </w:rPr>
        <w:t>часа- требуется один охранник на пост.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Комиссия Оренбургского УФАС России, изучив документы, размещенные в составе извещения о проведении запроса котировок, отмечает, что техническое задание содержит противоречивую информацию относительно количества постов, поскольку имеется указание на </w:t>
      </w:r>
      <w:r>
        <w:rPr>
          <w:rStyle w:val="CharStyle13"/>
          <w:lang w:val="en-US" w:eastAsia="en-US"/>
        </w:rPr>
        <w:t xml:space="preserve">6 </w:t>
      </w:r>
      <w:r>
        <w:rPr>
          <w:rStyle w:val="CharStyle13"/>
        </w:rPr>
        <w:t xml:space="preserve">постов охраны, при этом указано </w:t>
      </w:r>
      <w:r>
        <w:rPr>
          <w:rStyle w:val="CharStyle13"/>
          <w:lang w:val="en-US" w:eastAsia="en-US"/>
        </w:rPr>
        <w:t xml:space="preserve">4 </w:t>
      </w:r>
      <w:r>
        <w:rPr>
          <w:rStyle w:val="CharStyle13"/>
        </w:rPr>
        <w:t xml:space="preserve">адреса оказания услуг. При таких обстоятельствах, действия Заказчика нарушают ч. </w:t>
      </w:r>
      <w:r>
        <w:rPr>
          <w:rStyle w:val="CharStyle13"/>
          <w:lang w:val="en-US" w:eastAsia="en-US"/>
        </w:rPr>
        <w:t xml:space="preserve">3 </w:t>
      </w:r>
      <w:r>
        <w:rPr>
          <w:rStyle w:val="CharStyle13"/>
        </w:rPr>
        <w:t xml:space="preserve">ст. </w:t>
      </w:r>
      <w:r>
        <w:rPr>
          <w:rStyle w:val="CharStyle13"/>
          <w:lang w:val="en-US" w:eastAsia="en-US"/>
        </w:rPr>
        <w:t xml:space="preserve">7 </w:t>
      </w:r>
      <w:r>
        <w:rPr>
          <w:rStyle w:val="CharStyle13"/>
        </w:rPr>
        <w:t xml:space="preserve">Закона о контрактной системе, что влечет административную ответственность по ч. </w:t>
      </w:r>
      <w:r>
        <w:rPr>
          <w:rStyle w:val="CharStyle13"/>
          <w:lang w:val="en-US" w:eastAsia="en-US"/>
        </w:rPr>
        <w:t xml:space="preserve">5 </w:t>
      </w:r>
      <w:r>
        <w:rPr>
          <w:rStyle w:val="CharStyle13"/>
        </w:rPr>
        <w:t xml:space="preserve">ст. </w:t>
      </w:r>
      <w:r>
        <w:rPr>
          <w:rStyle w:val="CharStyle13"/>
          <w:lang w:val="en-US" w:eastAsia="en-US"/>
        </w:rPr>
        <w:t xml:space="preserve">7.30.1 </w:t>
      </w:r>
      <w:r>
        <w:rPr>
          <w:rStyle w:val="CharStyle13"/>
        </w:rPr>
        <w:t>Кодекса Российской Федерации об административных правонарушениях.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Вместе с тем, по мнению Комиссии Оренбургского УФАС России данное разночтение имеет характер технической ошибки, поскольку из содержания извещения </w:t>
      </w:r>
      <w:r>
        <w:rPr>
          <w:rStyle w:val="CharStyle13"/>
          <w:lang w:val="en-US" w:eastAsia="en-US"/>
        </w:rPr>
        <w:t xml:space="preserve">№ 0853500000326002529, </w:t>
      </w:r>
      <w:r>
        <w:rPr>
          <w:rStyle w:val="CharStyle13"/>
        </w:rPr>
        <w:t xml:space="preserve">технического задания, проекта контракта размещенной документации возможно однозначно определить требуемое Заказчику количество постов </w:t>
      </w:r>
      <w:r>
        <w:rPr>
          <w:rStyle w:val="CharStyle13"/>
          <w:lang w:val="en-US" w:eastAsia="en-US"/>
        </w:rPr>
        <w:t xml:space="preserve">(4 </w:t>
      </w:r>
      <w:r>
        <w:rPr>
          <w:rStyle w:val="CharStyle13"/>
        </w:rPr>
        <w:t>поста). В связи с чем, Комиссия Оренбургского УФАС России полагает возможным предписание об устранении нарушений законодательства о контрактной системе в данной части не выдавать.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В соответствии с пунктом </w:t>
      </w:r>
      <w:r>
        <w:rPr>
          <w:rStyle w:val="CharStyle13"/>
          <w:lang w:val="en-US" w:eastAsia="en-US"/>
        </w:rPr>
        <w:t xml:space="preserve">17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42 </w:t>
      </w:r>
      <w:r>
        <w:rPr>
          <w:rStyle w:val="CharStyle13"/>
        </w:rPr>
        <w:t xml:space="preserve">Закона о контрактной системе при осуществлении закупки путем проведения открытых конкурентных способов заказчик формирует с использованием ЕИС, подписывает усиленной электронной подписью лица, имеющего право действовать от имени заказчика, и размещает в ЕИС извещение об осуществлении закупки, содержащее размер обеспечения исполнения контракта, гарантийных обязательств, порядок предоставления такого обеспечения, требования к такому обеспечению (если требование обеспечения исполнения контракта, гарантийных обязательств установлено в соответствии со статьей </w:t>
      </w:r>
      <w:r>
        <w:rPr>
          <w:rStyle w:val="CharStyle13"/>
          <w:lang w:val="en-US" w:eastAsia="en-US"/>
        </w:rPr>
        <w:t xml:space="preserve">96 </w:t>
      </w:r>
      <w:r>
        <w:rPr>
          <w:rStyle w:val="CharStyle13"/>
        </w:rPr>
        <w:t xml:space="preserve">Закона </w:t>
      </w:r>
      <w:r>
        <w:rPr>
          <w:rStyle w:val="CharStyle13"/>
          <w:lang w:val="en-US" w:eastAsia="en-US"/>
        </w:rPr>
        <w:t xml:space="preserve">№ </w:t>
      </w:r>
      <w:r>
        <w:rPr>
          <w:rStyle w:val="CharStyle13"/>
        </w:rPr>
        <w:t>44-ФЗ).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В соответствии с частью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37 </w:t>
      </w:r>
      <w:r>
        <w:rPr>
          <w:rStyle w:val="CharStyle13"/>
        </w:rPr>
        <w:t xml:space="preserve">Закона о контрактной системе если при проведении конкурса или аукциона начальная (максимальная) цена контракта составляет более чем пятнадцать миллионов рублей и участником закупки, с которым заключается контракт, предложена цена контракта, которая на двадцать пять и более процентов ниже начальной (максимальной) цены контракта, либо предложена сумма цен единиц товара, работы, услуги, которая на двадцать пять и более процентов ниже начальной суммы цен указанных единиц, контракт заключается только после предоставления таким участником обеспечения исполнения контракта в размере, превышающем в полтора раза размер обеспечения исполнения контракта, указанный в извещении об осуществлении закупки, документации о закупке (в случае, если Законом о контрактной системе предусмотрена документация о закупке), но не менее чем десять процентов от начальной (максимальной) цены контракта или от цены заключаемого контракта (если контракт заключается по результатам определения поставщика (подрядчика, исполнителя) в соответствии с пунктом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30 </w:t>
      </w:r>
      <w:r>
        <w:rPr>
          <w:rStyle w:val="CharStyle13"/>
        </w:rPr>
        <w:t>Закона о контрактной системе) и не менее размера аванса (если контрактом предусмотрена выплата аванса).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Согласно </w:t>
      </w:r>
      <w:r>
        <w:rPr>
          <w:rStyle w:val="CharStyle13"/>
          <w:color w:val="000080"/>
          <w:u w:val="single"/>
        </w:rPr>
        <w:t xml:space="preserve">части </w:t>
      </w:r>
      <w:r>
        <w:rPr>
          <w:rStyle w:val="CharStyle13"/>
          <w:color w:val="000080"/>
          <w:u w:val="single"/>
          <w:lang w:val="en-US" w:eastAsia="en-US"/>
        </w:rPr>
        <w:t xml:space="preserve">2 </w:t>
      </w:r>
      <w:r>
        <w:rPr>
          <w:rStyle w:val="CharStyle13"/>
          <w:color w:val="000080"/>
          <w:u w:val="single"/>
        </w:rPr>
        <w:t xml:space="preserve">статьи </w:t>
      </w:r>
      <w:r>
        <w:rPr>
          <w:rStyle w:val="CharStyle13"/>
          <w:color w:val="000080"/>
          <w:u w:val="single"/>
          <w:lang w:val="en-US" w:eastAsia="en-US"/>
        </w:rPr>
        <w:t>37</w:t>
      </w:r>
      <w:r>
        <w:rPr>
          <w:rStyle w:val="CharStyle13"/>
          <w:color w:val="000080"/>
          <w:lang w:val="en-US" w:eastAsia="en-US"/>
        </w:rPr>
        <w:t xml:space="preserve"> </w:t>
      </w:r>
      <w:r>
        <w:rPr>
          <w:rStyle w:val="CharStyle13"/>
        </w:rPr>
        <w:t>Закона о контрактной системе если при проведении конкурса или аукциона начальная (максимальная) цена контракта составляет пятнадцать миллионов рублей и менее и участником закупки, с которым заключается контракт,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3"/>
        </w:rPr>
        <w:t xml:space="preserve">предложена цена контракта, которая на двадцать пять и более процентов ниже начальной (максимальной) цены контракта, либо предложена сумма цен единиц товара, работы, услуги, которая на двадцать пять и более процентов ниже начальной суммы цен указанных единиц, контракт заключается только после предоставления таким участником обеспечения исполнения контракта в размере, указанном в </w:t>
      </w:r>
      <w:r>
        <w:rPr>
          <w:rStyle w:val="CharStyle13"/>
          <w:color w:val="000080"/>
          <w:u w:val="single"/>
        </w:rPr>
        <w:t xml:space="preserve">части </w:t>
      </w:r>
      <w:r>
        <w:rPr>
          <w:rStyle w:val="CharStyle13"/>
          <w:color w:val="000080"/>
          <w:u w:val="single"/>
          <w:lang w:val="en-US" w:eastAsia="en-US"/>
        </w:rPr>
        <w:t xml:space="preserve">1 </w:t>
      </w:r>
      <w:r>
        <w:rPr>
          <w:rStyle w:val="CharStyle13"/>
          <w:color w:val="000080"/>
          <w:u w:val="single"/>
        </w:rPr>
        <w:t>настоящей статьи</w:t>
      </w:r>
      <w:r>
        <w:rPr>
          <w:rStyle w:val="CharStyle13"/>
        </w:rPr>
        <w:t xml:space="preserve">, или информации, подтверждающей добросовестность такого участника в соответствии с </w:t>
      </w:r>
      <w:r>
        <w:rPr>
          <w:rStyle w:val="CharStyle13"/>
          <w:color w:val="000080"/>
          <w:u w:val="single"/>
        </w:rPr>
        <w:t xml:space="preserve">частью </w:t>
      </w:r>
      <w:r>
        <w:rPr>
          <w:rStyle w:val="CharStyle13"/>
          <w:color w:val="000080"/>
          <w:u w:val="single"/>
          <w:lang w:val="en-US" w:eastAsia="en-US"/>
        </w:rPr>
        <w:t xml:space="preserve">3 </w:t>
      </w:r>
      <w:r>
        <w:rPr>
          <w:rStyle w:val="CharStyle13"/>
          <w:color w:val="000080"/>
          <w:u w:val="single"/>
        </w:rPr>
        <w:t xml:space="preserve">статьи </w:t>
      </w:r>
      <w:r>
        <w:rPr>
          <w:rStyle w:val="CharStyle13"/>
          <w:color w:val="000080"/>
          <w:u w:val="single"/>
          <w:lang w:val="en-US" w:eastAsia="en-US"/>
        </w:rPr>
        <w:t xml:space="preserve">37 </w:t>
      </w:r>
      <w:r>
        <w:rPr>
          <w:rStyle w:val="CharStyle13"/>
        </w:rPr>
        <w:t xml:space="preserve">Закона о контрактной системе, с одновременным предоставлением таким участником обеспечения исполнения контракта в размере обеспечения исполнения контракта, указанном в извещении об осуществлении закупки, приглашении, документации о закупке (в случае, если </w:t>
      </w:r>
      <w:r>
        <w:rPr>
          <w:rStyle w:val="CharStyle13"/>
          <w:color w:val="000080"/>
          <w:u w:val="single"/>
        </w:rPr>
        <w:t>Законом</w:t>
      </w:r>
      <w:r>
        <w:rPr>
          <w:rStyle w:val="CharStyle13"/>
          <w:color w:val="000080"/>
        </w:rPr>
        <w:t xml:space="preserve"> </w:t>
      </w:r>
      <w:r>
        <w:rPr>
          <w:rStyle w:val="CharStyle13"/>
        </w:rPr>
        <w:t>о контрактной системе предусмотрена документация о закупке).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leader="underscore" w:pos="679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Пунктом </w:t>
      </w:r>
      <w:r>
        <w:rPr>
          <w:rStyle w:val="CharStyle13"/>
          <w:lang w:val="en-US" w:eastAsia="en-US"/>
        </w:rPr>
        <w:t xml:space="preserve">5.1 </w:t>
      </w:r>
      <w:r>
        <w:rPr>
          <w:rStyle w:val="CharStyle13"/>
        </w:rPr>
        <w:t xml:space="preserve">проекта контракта установлено, что Исполнитель представляет Заказчику обеспечение исполнения контракта в форме независимой гарантии, соответствующей требованиям статьи </w:t>
      </w:r>
      <w:r>
        <w:rPr>
          <w:rStyle w:val="CharStyle13"/>
          <w:lang w:val="en-US" w:eastAsia="en-US"/>
        </w:rPr>
        <w:t xml:space="preserve">45 </w:t>
      </w:r>
      <w:r>
        <w:rPr>
          <w:rStyle w:val="CharStyle13"/>
        </w:rPr>
        <w:t xml:space="preserve">Федерального закона </w:t>
      </w:r>
      <w:r>
        <w:rPr>
          <w:rStyle w:val="CharStyle13"/>
          <w:lang w:val="en-US" w:eastAsia="en-US"/>
        </w:rPr>
        <w:t xml:space="preserve">№ </w:t>
      </w:r>
      <w:r>
        <w:rPr>
          <w:rStyle w:val="CharStyle13"/>
        </w:rPr>
        <w:t xml:space="preserve">44-ФЗ, или внесением денежных средств на сумму </w:t>
      </w:r>
      <w:r>
        <w:rPr>
          <w:rStyle w:val="CharStyle13"/>
          <w:lang w:val="en-US" w:eastAsia="en-US"/>
        </w:rPr>
        <w:tab/>
        <w:t xml:space="preserve"> </w:t>
      </w:r>
      <w:r>
        <w:rPr>
          <w:rStyle w:val="CharStyle13"/>
        </w:rPr>
        <w:t xml:space="preserve">рублей (сумма прописью) </w:t>
      </w:r>
      <w:r>
        <w:rPr>
          <w:rStyle w:val="CharStyle13"/>
          <w:lang w:val="en-US" w:eastAsia="en-US"/>
        </w:rPr>
        <w:t>__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3"/>
        </w:rPr>
        <w:t xml:space="preserve">копеек, эквивалентную </w:t>
      </w:r>
      <w:r>
        <w:rPr>
          <w:rStyle w:val="CharStyle13"/>
          <w:lang w:val="en-US" w:eastAsia="en-US"/>
        </w:rPr>
        <w:t xml:space="preserve">5 </w:t>
      </w:r>
      <w:r>
        <w:rPr>
          <w:rStyle w:val="CharStyle13"/>
        </w:rPr>
        <w:t>процентам от цены Контракта.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Исполнитель освобождается от предоставления обеспечения исполнения контракта, в том числе с учетом положений статьи </w:t>
      </w:r>
      <w:r>
        <w:rPr>
          <w:rStyle w:val="CharStyle13"/>
          <w:lang w:val="en-US" w:eastAsia="en-US"/>
        </w:rPr>
        <w:t xml:space="preserve">37 </w:t>
      </w:r>
      <w:r>
        <w:rPr>
          <w:rStyle w:val="CharStyle13"/>
        </w:rPr>
        <w:t xml:space="preserve">Федерального закона </w:t>
      </w:r>
      <w:r>
        <w:rPr>
          <w:rStyle w:val="CharStyle13"/>
          <w:lang w:val="en-US" w:eastAsia="en-US"/>
        </w:rPr>
        <w:t xml:space="preserve">№ </w:t>
      </w:r>
      <w:r>
        <w:rPr>
          <w:rStyle w:val="CharStyle13"/>
        </w:rPr>
        <w:t xml:space="preserve">44-ФЗ, в случаях, установленных частью </w:t>
      </w:r>
      <w:r>
        <w:rPr>
          <w:rStyle w:val="CharStyle13"/>
          <w:lang w:val="en-US" w:eastAsia="en-US"/>
        </w:rPr>
        <w:t xml:space="preserve">8.1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96 </w:t>
      </w:r>
      <w:r>
        <w:rPr>
          <w:rStyle w:val="CharStyle13"/>
        </w:rPr>
        <w:t xml:space="preserve">Федерального закона </w:t>
      </w:r>
      <w:r>
        <w:rPr>
          <w:rStyle w:val="CharStyle13"/>
          <w:lang w:val="en-US" w:eastAsia="en-US"/>
        </w:rPr>
        <w:t xml:space="preserve">№ </w:t>
      </w:r>
      <w:r>
        <w:rPr>
          <w:rStyle w:val="CharStyle13"/>
        </w:rPr>
        <w:t>44-ФЗ.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В случае если предложенная Исполнителем цена контракта (сумма цен услуг) снижена на </w:t>
      </w:r>
      <w:r>
        <w:rPr>
          <w:rStyle w:val="CharStyle13"/>
          <w:lang w:val="en-US" w:eastAsia="en-US"/>
        </w:rPr>
        <w:t xml:space="preserve">25 </w:t>
      </w:r>
      <w:r>
        <w:rPr>
          <w:rStyle w:val="CharStyle13"/>
        </w:rPr>
        <w:t xml:space="preserve">процентов и более по отношению к начальной (максимальной) цене контракта (начальной сумме цен услуг), обеспечение исполнения контракта предоставляется в соответствии со статьей </w:t>
      </w:r>
      <w:r>
        <w:rPr>
          <w:rStyle w:val="CharStyle13"/>
          <w:lang w:val="en-US" w:eastAsia="en-US"/>
        </w:rPr>
        <w:t xml:space="preserve">37 </w:t>
      </w:r>
      <w:r>
        <w:rPr>
          <w:rStyle w:val="CharStyle13"/>
        </w:rPr>
        <w:t xml:space="preserve">Федерального закона </w:t>
      </w:r>
      <w:r>
        <w:rPr>
          <w:rStyle w:val="CharStyle13"/>
          <w:lang w:val="en-US" w:eastAsia="en-US"/>
        </w:rPr>
        <w:t xml:space="preserve">№ </w:t>
      </w:r>
      <w:r>
        <w:rPr>
          <w:rStyle w:val="CharStyle13"/>
        </w:rPr>
        <w:t>44-ФЗ.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Согласно пояснениям представителя Уполномоченного органа, проект контракта, сформирован с учетом требований ч. </w:t>
      </w:r>
      <w:r>
        <w:rPr>
          <w:rStyle w:val="CharStyle13"/>
          <w:lang w:val="en-US" w:eastAsia="en-US"/>
        </w:rPr>
        <w:t xml:space="preserve">11 </w:t>
      </w:r>
      <w:r>
        <w:rPr>
          <w:rStyle w:val="CharStyle13"/>
        </w:rPr>
        <w:t xml:space="preserve">ст. </w:t>
      </w:r>
      <w:r>
        <w:rPr>
          <w:rStyle w:val="CharStyle13"/>
          <w:lang w:val="en-US" w:eastAsia="en-US"/>
        </w:rPr>
        <w:t xml:space="preserve">34 </w:t>
      </w:r>
      <w:r>
        <w:rPr>
          <w:rStyle w:val="CharStyle13"/>
        </w:rPr>
        <w:t xml:space="preserve">Закона о контрактной системе, на основании обязательных для применения положений Приказа Росгвардии от </w:t>
      </w:r>
      <w:r>
        <w:rPr>
          <w:rStyle w:val="CharStyle13"/>
          <w:lang w:val="en-US" w:eastAsia="en-US"/>
        </w:rPr>
        <w:t xml:space="preserve">01.06.2020 № 149 </w:t>
      </w:r>
      <w:r>
        <w:rPr>
          <w:rStyle w:val="CharStyle13"/>
        </w:rPr>
        <w:t>«Об утверждении типового контракта на оказание охранных услуг и информационной карты типового контракта на оказание охранных услуг».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Комиссией Оренбургского УФАС России установлено, закупка проводится в форме запроса котировок в электронной форме на оказание охранных услуг (извещение </w:t>
      </w:r>
      <w:r>
        <w:rPr>
          <w:rStyle w:val="CharStyle13"/>
          <w:lang w:val="en-US" w:eastAsia="en-US"/>
        </w:rPr>
        <w:t xml:space="preserve">№ 0853500000326002529), </w:t>
      </w:r>
      <w:r>
        <w:rPr>
          <w:rStyle w:val="CharStyle13"/>
        </w:rPr>
        <w:t xml:space="preserve">в связи с чем, включение в типовой контракт треований о применении условий предусмотренных ст. </w:t>
      </w:r>
      <w:r>
        <w:rPr>
          <w:rStyle w:val="CharStyle13"/>
          <w:lang w:val="en-US" w:eastAsia="en-US"/>
        </w:rPr>
        <w:t xml:space="preserve">37 </w:t>
      </w:r>
      <w:r>
        <w:rPr>
          <w:rStyle w:val="CharStyle13"/>
        </w:rPr>
        <w:t>Закона о контрактной системе в данном случае является неправомерным.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При таких обстоятельствах доводы жалобы о неправомерном применении антидемпинговых мер в проекте контракта признаются обоснованными. Действия Заказчика нарушают п. </w:t>
      </w:r>
      <w:r>
        <w:rPr>
          <w:rStyle w:val="CharStyle13"/>
          <w:lang w:val="en-US" w:eastAsia="en-US"/>
        </w:rPr>
        <w:t xml:space="preserve">17 </w:t>
      </w:r>
      <w:r>
        <w:rPr>
          <w:rStyle w:val="CharStyle13"/>
        </w:rPr>
        <w:t xml:space="preserve">ч.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ст. </w:t>
      </w:r>
      <w:r>
        <w:rPr>
          <w:rStyle w:val="CharStyle13"/>
          <w:lang w:val="en-US" w:eastAsia="en-US"/>
        </w:rPr>
        <w:t xml:space="preserve">42, </w:t>
      </w:r>
      <w:r>
        <w:rPr>
          <w:rStyle w:val="CharStyle13"/>
        </w:rPr>
        <w:t xml:space="preserve">ст. </w:t>
      </w:r>
      <w:r>
        <w:rPr>
          <w:rStyle w:val="CharStyle13"/>
          <w:lang w:val="en-US" w:eastAsia="en-US"/>
        </w:rPr>
        <w:t xml:space="preserve">37 </w:t>
      </w:r>
      <w:r>
        <w:rPr>
          <w:rStyle w:val="CharStyle13"/>
        </w:rPr>
        <w:t xml:space="preserve">Закона о контрактной системе, что влечет административную ответственность по ч. </w:t>
      </w:r>
      <w:r>
        <w:rPr>
          <w:rStyle w:val="CharStyle13"/>
          <w:lang w:val="en-US" w:eastAsia="en-US"/>
        </w:rPr>
        <w:t xml:space="preserve">5 </w:t>
      </w:r>
      <w:r>
        <w:rPr>
          <w:rStyle w:val="CharStyle13"/>
        </w:rPr>
        <w:t xml:space="preserve">ст. </w:t>
      </w:r>
      <w:r>
        <w:rPr>
          <w:rStyle w:val="CharStyle13"/>
          <w:lang w:val="en-US" w:eastAsia="en-US"/>
        </w:rPr>
        <w:t xml:space="preserve">7.30.1 </w:t>
      </w:r>
      <w:r>
        <w:rPr>
          <w:rStyle w:val="CharStyle13"/>
        </w:rPr>
        <w:t>Кодекса Российской Федерации об административных правонарушениях.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В силу п. </w:t>
      </w:r>
      <w:r>
        <w:rPr>
          <w:rStyle w:val="CharStyle13"/>
          <w:lang w:val="en-US" w:eastAsia="en-US"/>
        </w:rPr>
        <w:t xml:space="preserve">9 </w:t>
      </w:r>
      <w:r>
        <w:rPr>
          <w:rStyle w:val="CharStyle13"/>
        </w:rPr>
        <w:t xml:space="preserve">ч.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ст. </w:t>
      </w:r>
      <w:r>
        <w:rPr>
          <w:rStyle w:val="CharStyle13"/>
          <w:lang w:val="en-US" w:eastAsia="en-US"/>
        </w:rPr>
        <w:t xml:space="preserve">42 </w:t>
      </w:r>
      <w:r>
        <w:rPr>
          <w:rStyle w:val="CharStyle13"/>
        </w:rPr>
        <w:t>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информацию: начальная (максимальная) цена контракта (цена отдельных этапов исполнения контракта, если проектом контракта предусмотрены такие этапы), источник финансирования, наименование валюты в соответствии с общероссийским классификатором валют.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Согласно п.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ч.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ст. </w:t>
      </w:r>
      <w:r>
        <w:rPr>
          <w:rStyle w:val="CharStyle13"/>
          <w:lang w:val="en-US" w:eastAsia="en-US"/>
        </w:rPr>
        <w:t xml:space="preserve">42 </w:t>
      </w:r>
      <w:r>
        <w:rPr>
          <w:rStyle w:val="CharStyle13"/>
        </w:rPr>
        <w:t>Закона о контрактной системе извещение об осуществлении закупки, если иное не предусмотрено настоящим Федеральным законом, должно содержать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3"/>
        </w:rPr>
        <w:t>следующие электронные документы: обоснование начальной (максимальной) цены контракта.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В соответствии со сведениями ЕИС Заказчиком размещен файл «НМЦК с </w:t>
      </w:r>
      <w:r>
        <w:rPr>
          <w:rStyle w:val="CharStyle13"/>
          <w:lang w:val="en-US" w:eastAsia="en-US"/>
        </w:rPr>
        <w:t xml:space="preserve">мая.xlsx» </w:t>
      </w:r>
      <w:r>
        <w:rPr>
          <w:rStyle w:val="CharStyle13"/>
        </w:rPr>
        <w:t xml:space="preserve">(приложение к извещению), в котором указано: «При определении начальной (максимальной) цены контракта применялся иной метод в соответствии с Приказом Федеральной службы войск национальной гвардии РФ от 15.02.2021г. </w:t>
      </w:r>
      <w:r>
        <w:rPr>
          <w:rStyle w:val="CharStyle13"/>
          <w:lang w:val="en-US" w:eastAsia="en-US"/>
        </w:rPr>
        <w:t xml:space="preserve">№ 45 </w:t>
      </w:r>
      <w:r>
        <w:rPr>
          <w:rStyle w:val="CharStyle13"/>
        </w:rPr>
        <w:t>«Об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начальной единицы товара, работы, услуги при осуществлении закупок охранных услуг».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В соответствии с ч.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ст. </w:t>
      </w:r>
      <w:r>
        <w:rPr>
          <w:rStyle w:val="CharStyle13"/>
          <w:lang w:val="en-US" w:eastAsia="en-US"/>
        </w:rPr>
        <w:t xml:space="preserve">99 </w:t>
      </w:r>
      <w:r>
        <w:rPr>
          <w:rStyle w:val="CharStyle13"/>
        </w:rPr>
        <w:t>Закона о контрактной системе контроль в сфере закупок осуществляют следующие органы контроля в пределах их полномочий:</w:t>
      </w:r>
    </w:p>
    <w:p>
      <w:pPr>
        <w:pStyle w:val="Style1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6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федеральный орган исполнительной власти, уполномоченный на осуществление контроля в сфере закупок, контрольный орган в сфере государственного оборонного заказа, органы исполнительной власти субъекта Российской Федерации, органы местного самоуправления муниципального района, органы местного самоуправления муниципального округа, органы местного самоуправления городского округа, уполномоченные на осуществление контроля в сфере закупок;</w:t>
      </w:r>
    </w:p>
    <w:p>
      <w:pPr>
        <w:pStyle w:val="Style1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6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федеральный орган исполнительной власти, осуществляющий правоприменительные функции по казначейскому обслуживанию исполнения бюджетов бюджетной системы Российской Федерации, федеральный орган исполнительной власти, определенный Правительством Российской Федерации в соответствии с частью </w:t>
      </w:r>
      <w:r>
        <w:rPr>
          <w:rStyle w:val="CharStyle13"/>
          <w:lang w:val="en-US" w:eastAsia="en-US"/>
        </w:rPr>
        <w:t xml:space="preserve">6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 </w:t>
      </w:r>
      <w:r>
        <w:rPr>
          <w:rStyle w:val="CharStyle13"/>
        </w:rPr>
        <w:t>настоящего Федерального закона, финансовые органы субъектов Российской Федерации и муниципальных образований, органы управления государственными внебюджетными фондами;</w:t>
      </w:r>
    </w:p>
    <w:p>
      <w:pPr>
        <w:pStyle w:val="Style1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6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органы внутреннего государственного (муниципального) финансового контроля, определенные в соответствии с Бюджетным кодексом Российской Федерации.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Контроль за определением и обоснованием начальной (максимальной) цены контракта осуществляют органы внутреннего государственного (муниципального) финансового контроля (п. </w:t>
      </w:r>
      <w:r>
        <w:rPr>
          <w:rStyle w:val="CharStyle13"/>
          <w:lang w:val="en-US" w:eastAsia="en-US"/>
        </w:rPr>
        <w:t xml:space="preserve">3 </w:t>
      </w:r>
      <w:r>
        <w:rPr>
          <w:rStyle w:val="CharStyle13"/>
        </w:rPr>
        <w:t xml:space="preserve">ч. </w:t>
      </w:r>
      <w:r>
        <w:rPr>
          <w:rStyle w:val="CharStyle13"/>
          <w:lang w:val="en-US" w:eastAsia="en-US"/>
        </w:rPr>
        <w:t xml:space="preserve">8 </w:t>
      </w:r>
      <w:r>
        <w:rPr>
          <w:rStyle w:val="CharStyle13"/>
        </w:rPr>
        <w:t xml:space="preserve">ст. </w:t>
      </w:r>
      <w:r>
        <w:rPr>
          <w:rStyle w:val="CharStyle13"/>
          <w:lang w:val="en-US" w:eastAsia="en-US"/>
        </w:rPr>
        <w:t xml:space="preserve">99 </w:t>
      </w:r>
      <w:r>
        <w:rPr>
          <w:rStyle w:val="CharStyle13"/>
        </w:rPr>
        <w:t>Закона о контрактной системе).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На основании изложенного, Комиссией Оренбургского УФАС России в силу п. </w:t>
      </w:r>
      <w:r>
        <w:rPr>
          <w:rStyle w:val="CharStyle13"/>
          <w:lang w:val="en-US" w:eastAsia="en-US"/>
        </w:rPr>
        <w:t xml:space="preserve">3 </w:t>
      </w:r>
      <w:r>
        <w:rPr>
          <w:rStyle w:val="CharStyle13"/>
        </w:rPr>
        <w:t xml:space="preserve">ч. </w:t>
      </w:r>
      <w:r>
        <w:rPr>
          <w:rStyle w:val="CharStyle13"/>
          <w:lang w:val="en-US" w:eastAsia="en-US"/>
        </w:rPr>
        <w:t xml:space="preserve">8 </w:t>
      </w:r>
      <w:r>
        <w:rPr>
          <w:rStyle w:val="CharStyle13"/>
        </w:rPr>
        <w:t xml:space="preserve">ст. </w:t>
      </w:r>
      <w:r>
        <w:rPr>
          <w:rStyle w:val="CharStyle13"/>
          <w:lang w:val="en-US" w:eastAsia="en-US"/>
        </w:rPr>
        <w:t xml:space="preserve">99 </w:t>
      </w:r>
      <w:r>
        <w:rPr>
          <w:rStyle w:val="CharStyle13"/>
        </w:rPr>
        <w:t xml:space="preserve">Закона о контрактной системе, Постановления Правительства РФ от </w:t>
      </w:r>
      <w:r>
        <w:rPr>
          <w:rStyle w:val="CharStyle13"/>
          <w:lang w:val="en-US" w:eastAsia="en-US"/>
        </w:rPr>
        <w:t xml:space="preserve">30.06.2004 № 331 </w:t>
      </w:r>
      <w:r>
        <w:rPr>
          <w:rStyle w:val="CharStyle13"/>
        </w:rPr>
        <w:t xml:space="preserve">«Об утверждении Положения о Федеральной антимонопольной службе», Приказа ФАС России от </w:t>
      </w:r>
      <w:r>
        <w:rPr>
          <w:rStyle w:val="CharStyle13"/>
          <w:lang w:val="en-US" w:eastAsia="en-US"/>
        </w:rPr>
        <w:t xml:space="preserve">23.07.2015 № 649/15 </w:t>
      </w:r>
      <w:r>
        <w:rPr>
          <w:rStyle w:val="CharStyle13"/>
        </w:rPr>
        <w:t>«Об утверждении Положения о территориальном органе Федеральной антимонопольной службы» принято решение о передаче жалобы в указанной части в Комитет внутреннего государственного финансового контроля Оренбургской области.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В соответствии с п.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ч. </w:t>
      </w:r>
      <w:r>
        <w:rPr>
          <w:rStyle w:val="CharStyle13"/>
          <w:lang w:val="en-US" w:eastAsia="en-US"/>
        </w:rPr>
        <w:t xml:space="preserve">22 </w:t>
      </w:r>
      <w:r>
        <w:rPr>
          <w:rStyle w:val="CharStyle13"/>
        </w:rPr>
        <w:t xml:space="preserve">ст. </w:t>
      </w:r>
      <w:r>
        <w:rPr>
          <w:rStyle w:val="CharStyle13"/>
          <w:lang w:val="en-US" w:eastAsia="en-US"/>
        </w:rPr>
        <w:t xml:space="preserve">99 </w:t>
      </w:r>
      <w:r>
        <w:rPr>
          <w:rStyle w:val="CharStyle13"/>
        </w:rPr>
        <w:t>Закона о контрактной системе при выявлении в результате проведения контрольным органом в сфере закупок плановых и внеплановых проверок, а также в результате рассмотрения жалобы на действия (бездействие) субъектов контроля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 выдавать обязательные для исполнения предписания об устранении таких нарушений в соответствии с законодательством Российской Федерации, в том числе об аннулировании определения поставщиков (подрядчиков, исполнителей).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Из материалов дела установлено, что по результатам окончания сроков подачи заявок на участие подано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заявки, предложение цены победителем </w:t>
      </w:r>
      <w:r>
        <w:rPr>
          <w:rStyle w:val="CharStyle13"/>
          <w:lang w:val="en-US" w:eastAsia="en-US"/>
        </w:rPr>
        <w:t xml:space="preserve">– </w:t>
      </w:r>
      <w:r>
        <w:rPr>
          <w:rStyle w:val="CharStyle13"/>
        </w:rPr>
        <w:t xml:space="preserve">с учетом снижения составило </w:t>
      </w:r>
      <w:r>
        <w:rPr>
          <w:rStyle w:val="CharStyle13"/>
          <w:lang w:val="en-US" w:eastAsia="en-US"/>
        </w:rPr>
        <w:t xml:space="preserve">4 562 174,40 </w:t>
      </w:r>
      <w:r>
        <w:rPr>
          <w:rStyle w:val="CharStyle13"/>
        </w:rPr>
        <w:t xml:space="preserve">руб., что составляет </w:t>
      </w:r>
      <w:r>
        <w:rPr>
          <w:rStyle w:val="CharStyle13"/>
          <w:lang w:val="en-US" w:eastAsia="en-US"/>
        </w:rPr>
        <w:t xml:space="preserve">4,45 % </w:t>
      </w:r>
      <w:r>
        <w:rPr>
          <w:rStyle w:val="CharStyle13"/>
        </w:rPr>
        <w:t xml:space="preserve">снижения. Таким образом, ст. </w:t>
      </w:r>
      <w:r>
        <w:rPr>
          <w:rStyle w:val="CharStyle13"/>
          <w:lang w:val="en-US" w:eastAsia="en-US"/>
        </w:rPr>
        <w:t xml:space="preserve">37 </w:t>
      </w:r>
      <w:r>
        <w:rPr>
          <w:rStyle w:val="CharStyle13"/>
        </w:rPr>
        <w:t>Закона о контрактной системе в данном случае не применима, в связи с чем, Комиссия</w:t>
      </w:r>
      <w:r>
        <w:br w:type="page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3"/>
        </w:rPr>
        <w:t>Оренбургского УФАС России полагает возможным предписание об устранении нарушений законодательства о контрактной системе не выдавать.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13"/>
        </w:rPr>
        <w:t xml:space="preserve">На основании вышеизложенного, руководствуясь ст. </w:t>
      </w:r>
      <w:r>
        <w:rPr>
          <w:rStyle w:val="CharStyle13"/>
          <w:lang w:val="en-US" w:eastAsia="en-US"/>
        </w:rPr>
        <w:t xml:space="preserve">99, </w:t>
      </w:r>
      <w:r>
        <w:rPr>
          <w:rStyle w:val="CharStyle13"/>
        </w:rPr>
        <w:t xml:space="preserve">ч. </w:t>
      </w:r>
      <w:r>
        <w:rPr>
          <w:rStyle w:val="CharStyle13"/>
          <w:lang w:val="en-US" w:eastAsia="en-US"/>
        </w:rPr>
        <w:t xml:space="preserve">8 </w:t>
      </w:r>
      <w:r>
        <w:rPr>
          <w:rStyle w:val="CharStyle13"/>
        </w:rPr>
        <w:t xml:space="preserve">ст. </w:t>
      </w:r>
      <w:r>
        <w:rPr>
          <w:rStyle w:val="CharStyle13"/>
          <w:lang w:val="en-US" w:eastAsia="en-US"/>
        </w:rPr>
        <w:t xml:space="preserve">106 </w:t>
      </w:r>
      <w:r>
        <w:rPr>
          <w:rStyle w:val="CharStyle13"/>
        </w:rPr>
        <w:t>Закона о контрактной системе, Комиссия Оренбургского УФАС России,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4880" w:right="0" w:firstLine="0"/>
        <w:jc w:val="left"/>
      </w:pPr>
      <w:r>
        <w:rPr>
          <w:rStyle w:val="CharStyle13"/>
        </w:rPr>
        <w:t>РЕШИЛА:</w:t>
      </w:r>
    </w:p>
    <w:p>
      <w:pPr>
        <w:pStyle w:val="Style1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10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Признать жалобу ООО «Охранное предприятие «Феникс-2002» на действия ГБОУ ВО «Оренбургский государственный институт искусств им. Л. и М. Ростроповичей» при проведении запроса котировок в электронной форме на оказание охранных услуг (номер извещения </w:t>
      </w:r>
      <w:r>
        <w:rPr>
          <w:rStyle w:val="CharStyle13"/>
          <w:lang w:val="en-US" w:eastAsia="en-US"/>
        </w:rPr>
        <w:t xml:space="preserve">0853500000326002529) </w:t>
      </w:r>
      <w:r>
        <w:rPr>
          <w:rStyle w:val="CharStyle13"/>
        </w:rPr>
        <w:t>частично обоснованной.</w:t>
      </w:r>
    </w:p>
    <w:p>
      <w:pPr>
        <w:pStyle w:val="Style1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10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Признать ГБОУ ВО «Оренбургский государственный институт искусств им. Л. и М. Ростроповичей» нарушившим ч. </w:t>
      </w:r>
      <w:r>
        <w:rPr>
          <w:rStyle w:val="CharStyle13"/>
          <w:lang w:val="en-US" w:eastAsia="en-US"/>
        </w:rPr>
        <w:t xml:space="preserve">3 </w:t>
      </w:r>
      <w:r>
        <w:rPr>
          <w:rStyle w:val="CharStyle13"/>
        </w:rPr>
        <w:t xml:space="preserve">ст. </w:t>
      </w:r>
      <w:r>
        <w:rPr>
          <w:rStyle w:val="CharStyle13"/>
          <w:lang w:val="en-US" w:eastAsia="en-US"/>
        </w:rPr>
        <w:t xml:space="preserve">7, </w:t>
      </w:r>
      <w:r>
        <w:rPr>
          <w:rStyle w:val="CharStyle13"/>
        </w:rPr>
        <w:t xml:space="preserve">п. </w:t>
      </w:r>
      <w:r>
        <w:rPr>
          <w:rStyle w:val="CharStyle13"/>
          <w:lang w:val="en-US" w:eastAsia="en-US"/>
        </w:rPr>
        <w:t xml:space="preserve">17 </w:t>
      </w:r>
      <w:r>
        <w:rPr>
          <w:rStyle w:val="CharStyle13"/>
        </w:rPr>
        <w:t xml:space="preserve">ч.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ст. </w:t>
      </w:r>
      <w:r>
        <w:rPr>
          <w:rStyle w:val="CharStyle13"/>
          <w:lang w:val="en-US" w:eastAsia="en-US"/>
        </w:rPr>
        <w:t xml:space="preserve">42, </w:t>
      </w:r>
      <w:r>
        <w:rPr>
          <w:rStyle w:val="CharStyle13"/>
        </w:rPr>
        <w:t xml:space="preserve">ст. </w:t>
      </w:r>
      <w:r>
        <w:rPr>
          <w:rStyle w:val="CharStyle13"/>
          <w:lang w:val="en-US" w:eastAsia="en-US"/>
        </w:rPr>
        <w:t xml:space="preserve">37 </w:t>
      </w:r>
      <w:r>
        <w:rPr>
          <w:rStyle w:val="CharStyle13"/>
        </w:rPr>
        <w:t>Закона о контрактной системе.</w:t>
      </w:r>
    </w:p>
    <w:p>
      <w:pPr>
        <w:pStyle w:val="Style1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69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Предписание об устранении допущенных нарушений не выдавать.</w:t>
      </w:r>
    </w:p>
    <w:p>
      <w:pPr>
        <w:pStyle w:val="Style1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10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Передать материалы дела должностному лицу для решения вопроса о возбуждении административного производства по ч. </w:t>
      </w:r>
      <w:r>
        <w:rPr>
          <w:rStyle w:val="CharStyle13"/>
          <w:lang w:val="en-US" w:eastAsia="en-US"/>
        </w:rPr>
        <w:t xml:space="preserve">5 </w:t>
      </w:r>
      <w:r>
        <w:rPr>
          <w:rStyle w:val="CharStyle13"/>
        </w:rPr>
        <w:t xml:space="preserve">ст. </w:t>
      </w:r>
      <w:r>
        <w:rPr>
          <w:rStyle w:val="CharStyle13"/>
          <w:lang w:val="en-US" w:eastAsia="en-US"/>
        </w:rPr>
        <w:t xml:space="preserve">7.30.1 </w:t>
      </w:r>
      <w:r>
        <w:rPr>
          <w:rStyle w:val="CharStyle13"/>
        </w:rPr>
        <w:t>КоАП РФ.</w:t>
      </w:r>
    </w:p>
    <w:p>
      <w:pPr>
        <w:pStyle w:val="Style1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10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Передать жалобу в Комитет внутреннего государственного финансового контроля Оренбургской области для решения вопроса о наличии/отсутствии в действиях должностных лиц Заказчика нарушений Закона о контрактной системе в части формирования начальной (максимальной) цены контракта.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760" w:line="240" w:lineRule="auto"/>
        <w:ind w:left="0" w:right="0" w:firstLine="720"/>
        <w:jc w:val="both"/>
      </w:pPr>
      <w:r>
        <w:rPr>
          <w:rStyle w:val="CharStyle13"/>
        </w:rPr>
        <w:t>Решение может быть обжаловано в судебном порядке в течение 3-х месяцев со дня его принятия.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56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4" behindDoc="0" locked="0" layoutInCell="1" allowOverlap="1">
                <wp:simplePos x="0" y="0"/>
                <wp:positionH relativeFrom="page">
                  <wp:posOffset>6078855</wp:posOffset>
                </wp:positionH>
                <wp:positionV relativeFrom="paragraph">
                  <wp:posOffset>12700</wp:posOffset>
                </wp:positionV>
                <wp:extent cx="1109345" cy="234950"/>
                <wp:wrapSquare wrapText="left"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0934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3"/>
                              </w:rPr>
                              <w:t>Н.Ю. Решетова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78.65000000000003pt;margin-top:1.pt;width:87.350000000000009pt;height:18.5pt;z-index:-12582936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3"/>
                        </w:rPr>
                        <w:t>Н.Ю. Решетова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3"/>
        </w:rPr>
        <w:t>Председатель комиссии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3"/>
        </w:rPr>
        <w:t>Члены комиссии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1500" w:right="0" w:firstLine="0"/>
        <w:jc w:val="both"/>
      </w:pPr>
      <w:r>
        <w:drawing>
          <wp:anchor distT="0" distB="0" distL="114300" distR="1900555" simplePos="0" relativeHeight="125829386" behindDoc="0" locked="0" layoutInCell="1" allowOverlap="1">
            <wp:simplePos x="0" y="0"/>
            <wp:positionH relativeFrom="page">
              <wp:posOffset>2850515</wp:posOffset>
            </wp:positionH>
            <wp:positionV relativeFrom="paragraph">
              <wp:posOffset>63500</wp:posOffset>
            </wp:positionV>
            <wp:extent cx="353695" cy="524510"/>
            <wp:wrapSquare wrapText="right"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ext cx="353695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3310890</wp:posOffset>
                </wp:positionH>
                <wp:positionV relativeFrom="paragraph">
                  <wp:posOffset>468630</wp:posOffset>
                </wp:positionV>
                <wp:extent cx="1283335" cy="10033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0"/>
                                <w:b/>
                                <w:bCs/>
                                <w:color w:val="E7E7E7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60.69999999999999pt;margin-top:36.899999999999999pt;width:101.05pt;height:7.90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0"/>
                          <w:b/>
                          <w:bCs/>
                          <w:color w:val="E7E7E7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3268345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  <w:b/>
                                <w:bCs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rStyle w:val="CharStyle10"/>
                                <w:b/>
                                <w:bCs/>
                                <w:color w:val="000000"/>
                              </w:rPr>
                              <w:t xml:space="preserve">ЭП, </w:t>
                            </w:r>
                            <w:r>
                              <w:rPr>
                                <w:rStyle w:val="CharStyle10"/>
                                <w:b/>
                                <w:bCs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57.35000000000002pt;margin-top:11.950000000000001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  <w:b/>
                          <w:bCs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rStyle w:val="CharStyle10"/>
                          <w:b/>
                          <w:bCs/>
                          <w:color w:val="000000"/>
                        </w:rPr>
                        <w:t xml:space="preserve">ЭП, </w:t>
                      </w:r>
                      <w:r>
                        <w:rPr>
                          <w:rStyle w:val="CharStyle10"/>
                          <w:b/>
                          <w:bCs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3"/>
        </w:rPr>
        <w:t>Е.С. Масюкова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rStyle w:val="CharStyle32"/>
        </w:rPr>
        <w:t xml:space="preserve">Кому выдан: </w:t>
      </w:r>
      <w:r>
        <w:rPr>
          <w:rStyle w:val="CharStyle32"/>
          <w:color w:val="000000"/>
        </w:rPr>
        <w:t>Масюкова Екатерина Сергеевна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rStyle w:val="CharStyle32"/>
        </w:rPr>
        <w:t xml:space="preserve">Сертификат </w:t>
      </w:r>
      <w:r>
        <w:rPr>
          <w:rStyle w:val="CharStyle32"/>
          <w:color w:val="22272F"/>
        </w:rPr>
        <w:t xml:space="preserve">№ </w:t>
      </w:r>
      <w:r>
        <w:rPr>
          <w:rStyle w:val="CharStyle32"/>
          <w:lang w:val="en-US" w:eastAsia="en-US"/>
        </w:rPr>
        <w:t>42EBB802F9BF15A218FA70BA66AE5FF0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right="0" w:firstLine="0"/>
        <w:jc w:val="both"/>
      </w:pPr>
      <w:r>
        <w:rPr>
          <w:rStyle w:val="CharStyle32"/>
        </w:rPr>
        <w:t xml:space="preserve">Действителен </w:t>
      </w:r>
      <w:r>
        <w:rPr>
          <w:rStyle w:val="CharStyle32"/>
          <w:color w:val="555555"/>
        </w:rPr>
        <w:t xml:space="preserve">с 28.07.2025 </w:t>
      </w:r>
      <w:r>
        <w:rPr>
          <w:rStyle w:val="CharStyle32"/>
        </w:rPr>
        <w:t xml:space="preserve">по </w:t>
      </w:r>
      <w:r>
        <w:rPr>
          <w:rStyle w:val="CharStyle32"/>
          <w:color w:val="555555"/>
        </w:rPr>
        <w:t>21.10.2026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1500" w:right="0" w:firstLine="0"/>
        <w:jc w:val="both"/>
      </w:pPr>
      <w:r>
        <w:drawing>
          <wp:anchor distT="0" distB="0" distL="114300" distR="1900555" simplePos="0" relativeHeight="125829387" behindDoc="0" locked="0" layoutInCell="1" allowOverlap="1">
            <wp:simplePos x="0" y="0"/>
            <wp:positionH relativeFrom="page">
              <wp:posOffset>2850515</wp:posOffset>
            </wp:positionH>
            <wp:positionV relativeFrom="paragraph">
              <wp:posOffset>63500</wp:posOffset>
            </wp:positionV>
            <wp:extent cx="353695" cy="524510"/>
            <wp:wrapSquare wrapText="right"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4"/>
                    <a:stretch/>
                  </pic:blipFill>
                  <pic:spPr>
                    <a:xfrm>
                      <a:ext cx="353695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3310890</wp:posOffset>
                </wp:positionH>
                <wp:positionV relativeFrom="paragraph">
                  <wp:posOffset>468630</wp:posOffset>
                </wp:positionV>
                <wp:extent cx="1283335" cy="10033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0"/>
                                <w:b/>
                                <w:bCs/>
                                <w:color w:val="E7E7E7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60.69999999999999pt;margin-top:36.899999999999999pt;width:101.05pt;height:7.90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0"/>
                          <w:b/>
                          <w:bCs/>
                          <w:color w:val="E7E7E7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3268345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  <w:b/>
                                <w:bCs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rStyle w:val="CharStyle10"/>
                                <w:b/>
                                <w:bCs/>
                                <w:color w:val="000000"/>
                              </w:rPr>
                              <w:t xml:space="preserve">ЭП, </w:t>
                            </w:r>
                            <w:r>
                              <w:rPr>
                                <w:rStyle w:val="CharStyle10"/>
                                <w:b/>
                                <w:bCs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57.35000000000002pt;margin-top:11.950000000000001pt;width:135.59999999999999pt;height:20.40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  <w:b/>
                          <w:bCs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rStyle w:val="CharStyle10"/>
                          <w:b/>
                          <w:bCs/>
                          <w:color w:val="000000"/>
                        </w:rPr>
                        <w:t xml:space="preserve">ЭП, </w:t>
                      </w:r>
                      <w:r>
                        <w:rPr>
                          <w:rStyle w:val="CharStyle10"/>
                          <w:b/>
                          <w:bCs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3"/>
        </w:rPr>
        <w:t>А.А. Кузьменко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rStyle w:val="CharStyle32"/>
        </w:rPr>
        <w:t xml:space="preserve">Кому выдан: </w:t>
      </w:r>
      <w:r>
        <w:rPr>
          <w:rStyle w:val="CharStyle32"/>
          <w:color w:val="000000"/>
        </w:rPr>
        <w:t>Кузьменко Алия Алмазовна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2"/>
        </w:rPr>
        <w:t xml:space="preserve">Сертификат </w:t>
      </w:r>
      <w:r>
        <w:rPr>
          <w:rStyle w:val="CharStyle32"/>
          <w:color w:val="22272F"/>
        </w:rPr>
        <w:t xml:space="preserve">№ </w:t>
      </w:r>
      <w:r>
        <w:rPr>
          <w:rStyle w:val="CharStyle32"/>
          <w:lang w:val="en-US" w:eastAsia="en-US"/>
        </w:rPr>
        <w:t>00CDB4565968FC420183F0DF7B2B5624BC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  <w:sectPr>
          <w:footerReference w:type="default" r:id="rId16"/>
          <w:footnotePr>
            <w:pos w:val="pageBottom"/>
            <w:numFmt w:val="decimal"/>
            <w:numRestart w:val="continuous"/>
          </w:footnotePr>
          <w:pgSz w:w="11900" w:h="16840"/>
          <w:pgMar w:top="1084" w:right="539" w:bottom="1137" w:left="1103" w:header="656" w:footer="3" w:gutter="0"/>
          <w:cols w:space="720"/>
          <w:noEndnote/>
          <w:rtlGutter w:val="0"/>
          <w:docGrid w:linePitch="360"/>
        </w:sectPr>
      </w:pPr>
      <w:r>
        <w:rPr>
          <w:rStyle w:val="CharStyle32"/>
        </w:rPr>
        <w:t xml:space="preserve">Действителен </w:t>
      </w:r>
      <w:r>
        <w:rPr>
          <w:rStyle w:val="CharStyle32"/>
          <w:color w:val="555555"/>
        </w:rPr>
        <w:t xml:space="preserve">с </w:t>
      </w:r>
      <w:r>
        <w:rPr>
          <w:rStyle w:val="CharStyle32"/>
        </w:rPr>
        <w:t xml:space="preserve">02.10.2025 по </w:t>
      </w:r>
      <w:r>
        <w:rPr>
          <w:rStyle w:val="CharStyle32"/>
          <w:color w:val="555555"/>
        </w:rPr>
        <w:t>26.12.2026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13"/>
          <w:sz w:val="24"/>
          <w:szCs w:val="24"/>
          <w:lang w:val="en-US" w:eastAsia="en-US"/>
        </w:rPr>
        <w:t>2026-4151</w:t>
      </w:r>
    </w:p>
    <w:sectPr>
      <w:footerReference w:type="default" r:id="rId17"/>
      <w:footnotePr>
        <w:pos w:val="pageBottom"/>
        <w:numFmt w:val="decimal"/>
        <w:numRestart w:val="continuous"/>
      </w:footnotePr>
      <w:pgSz w:w="11900" w:h="16840"/>
      <w:pgMar w:top="15682" w:right="541" w:bottom="616" w:left="1106" w:header="15254" w:footer="188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9851390</wp:posOffset>
              </wp:positionV>
              <wp:extent cx="658495" cy="109855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6"/>
                              <w:sz w:val="24"/>
                              <w:szCs w:val="24"/>
                              <w:lang w:val="ru-RU" w:eastAsia="ru-RU"/>
                            </w:rPr>
                            <w:t>2026-4151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6.75pt;margin-top:775.70000000000005pt;width:51.850000000000001pt;height:8.6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6"/>
                        <w:sz w:val="24"/>
                        <w:szCs w:val="24"/>
                        <w:lang w:val="ru-RU" w:eastAsia="ru-RU"/>
                      </w:rPr>
                      <w:t>2026-4151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719455</wp:posOffset>
              </wp:positionH>
              <wp:positionV relativeFrom="page">
                <wp:posOffset>10037445</wp:posOffset>
              </wp:positionV>
              <wp:extent cx="658495" cy="109855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6"/>
                              <w:sz w:val="24"/>
                              <w:szCs w:val="24"/>
                            </w:rPr>
                            <w:t>2026-4151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56.649999999999999pt;margin-top:790.35000000000002pt;width:51.850000000000001pt;height:8.6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6"/>
                        <w:sz w:val="24"/>
                        <w:szCs w:val="24"/>
                      </w:rPr>
                      <w:t>2026-4151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719455</wp:posOffset>
              </wp:positionH>
              <wp:positionV relativeFrom="page">
                <wp:posOffset>10037445</wp:posOffset>
              </wp:positionV>
              <wp:extent cx="658495" cy="109855"/>
              <wp:wrapNone/>
              <wp:docPr id="29" name="Shape 2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6"/>
                              <w:sz w:val="24"/>
                              <w:szCs w:val="24"/>
                            </w:rPr>
                            <w:t>2026-4151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5" type="#_x0000_t202" style="position:absolute;margin-left:56.649999999999999pt;margin-top:790.35000000000002pt;width:51.850000000000001pt;height:8.6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6"/>
                        <w:sz w:val="24"/>
                        <w:szCs w:val="24"/>
                      </w:rPr>
                      <w:t>2026-4151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8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1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5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86094"/>
      <w:sz w:val="17"/>
      <w:szCs w:val="17"/>
      <w:u w:val="none"/>
    </w:rPr>
  </w:style>
  <w:style w:type="character" w:customStyle="1" w:styleId="CharStyle5">
    <w:name w:val="Body text (4)_"/>
    <w:basedOn w:val="DefaultParagraphFont"/>
    <w:link w:val="Style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86094"/>
      <w:sz w:val="19"/>
      <w:szCs w:val="19"/>
      <w:u w:val="none"/>
    </w:rPr>
  </w:style>
  <w:style w:type="character" w:customStyle="1" w:styleId="CharStyle7">
    <w:name w:val="Body text (3)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86094"/>
      <w:sz w:val="14"/>
      <w:szCs w:val="14"/>
      <w:u w:val="none"/>
    </w:rPr>
  </w:style>
  <w:style w:type="character" w:customStyle="1" w:styleId="CharStyle10">
    <w:name w:val="Picture caption_"/>
    <w:basedOn w:val="DefaultParagraphFont"/>
    <w:link w:val="Style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2272F"/>
      <w:sz w:val="11"/>
      <w:szCs w:val="11"/>
      <w:u w:val="none"/>
    </w:rPr>
  </w:style>
  <w:style w:type="character" w:customStyle="1" w:styleId="CharStyle13">
    <w:name w:val="Body text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6">
    <w:name w:val="Header or footer (2)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20">
    <w:name w:val="Heading #1_"/>
    <w:basedOn w:val="DefaultParagraphFont"/>
    <w:link w:val="Style19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character" w:customStyle="1" w:styleId="CharStyle23">
    <w:name w:val="Table caption_"/>
    <w:basedOn w:val="DefaultParagraphFont"/>
    <w:link w:val="Style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5">
    <w:name w:val="Other_"/>
    <w:basedOn w:val="DefaultParagraphFont"/>
    <w:link w:val="Style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32">
    <w:name w:val="Body text (2)_"/>
    <w:basedOn w:val="DefaultParagraphFont"/>
    <w:link w:val="Style31"/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  <w:style w:type="paragraph" w:customStyle="1" w:styleId="Style2">
    <w:name w:val="Body text (5)"/>
    <w:basedOn w:val="Normal"/>
    <w:link w:val="CharStyle3"/>
    <w:pPr>
      <w:widowControl w:val="0"/>
      <w:shd w:val="clear" w:color="auto" w:fill="auto"/>
      <w:spacing w:after="120" w:line="288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86094"/>
      <w:sz w:val="17"/>
      <w:szCs w:val="17"/>
      <w:u w:val="none"/>
    </w:rPr>
  </w:style>
  <w:style w:type="paragraph" w:customStyle="1" w:styleId="Style4">
    <w:name w:val="Body text (4)"/>
    <w:basedOn w:val="Normal"/>
    <w:link w:val="CharStyle5"/>
    <w:pPr>
      <w:widowControl w:val="0"/>
      <w:shd w:val="clear" w:color="auto" w:fill="auto"/>
      <w:spacing w:after="180" w:line="25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86094"/>
      <w:sz w:val="19"/>
      <w:szCs w:val="19"/>
      <w:u w:val="none"/>
    </w:rPr>
  </w:style>
  <w:style w:type="paragraph" w:customStyle="1" w:styleId="Style6">
    <w:name w:val="Body text (3)"/>
    <w:basedOn w:val="Normal"/>
    <w:link w:val="CharStyle7"/>
    <w:pPr>
      <w:widowControl w:val="0"/>
      <w:shd w:val="clear" w:color="auto" w:fill="auto"/>
      <w:spacing w:line="307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86094"/>
      <w:sz w:val="14"/>
      <w:szCs w:val="14"/>
      <w:u w:val="none"/>
    </w:rPr>
  </w:style>
  <w:style w:type="paragraph" w:customStyle="1" w:styleId="Style9">
    <w:name w:val="Picture caption"/>
    <w:basedOn w:val="Normal"/>
    <w:link w:val="CharStyle10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2272F"/>
      <w:sz w:val="11"/>
      <w:szCs w:val="11"/>
      <w:u w:val="none"/>
    </w:rPr>
  </w:style>
  <w:style w:type="paragraph" w:styleId="Style12">
    <w:name w:val="Body text"/>
    <w:basedOn w:val="Normal"/>
    <w:link w:val="CharStyle13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5">
    <w:name w:val="Header or footer (2)"/>
    <w:basedOn w:val="Normal"/>
    <w:link w:val="CharStyle1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9">
    <w:name w:val="Heading #1"/>
    <w:basedOn w:val="Normal"/>
    <w:link w:val="CharStyle20"/>
    <w:pPr>
      <w:widowControl w:val="0"/>
      <w:shd w:val="clear" w:color="auto" w:fill="auto"/>
      <w:spacing w:after="260"/>
      <w:ind w:hanging="414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paragraph" w:customStyle="1" w:styleId="Style22">
    <w:name w:val="Table caption"/>
    <w:basedOn w:val="Normal"/>
    <w:link w:val="CharStyle23"/>
    <w:pPr>
      <w:widowControl w:val="0"/>
      <w:shd w:val="clear" w:color="auto" w:fill="auto"/>
      <w:ind w:firstLine="7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24">
    <w:name w:val="Other"/>
    <w:basedOn w:val="Normal"/>
    <w:link w:val="CharStyle25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31">
    <w:name w:val="Body text (2)"/>
    <w:basedOn w:val="Normal"/>
    <w:link w:val="CharStyle32"/>
    <w:pPr>
      <w:widowControl w:val="0"/>
      <w:shd w:val="clear" w:color="auto" w:fill="auto"/>
      <w:ind w:left="34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Relationship Id="rId11" Type="http://schemas.openxmlformats.org/officeDocument/2006/relationships/footer" Target="footer3.xml"/><Relationship Id="rId12" Type="http://schemas.openxmlformats.org/officeDocument/2006/relationships/image" Target="media/image3.jpeg"/><Relationship Id="rId13" Type="http://schemas.openxmlformats.org/officeDocument/2006/relationships/image" Target="media/image3.jpeg" TargetMode="External"/><Relationship Id="rId14" Type="http://schemas.openxmlformats.org/officeDocument/2006/relationships/image" Target="media/image4.jpeg"/><Relationship Id="rId15" Type="http://schemas.openxmlformats.org/officeDocument/2006/relationships/image" Target="media/image4.jpeg" TargetMode="External"/><Relationship Id="rId16" Type="http://schemas.openxmlformats.org/officeDocument/2006/relationships/footer" Target="footer4.xml"/><Relationship Id="rId17" Type="http://schemas.openxmlformats.org/officeDocument/2006/relationships/footer" Target="footer5.xml"/></Relationships>
</file>