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Ивановской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ул. Жарова, 10, Иваново, 153000</w:t>
        <w:br/>
        <w:t>тел. (4932) 32-85-73, факс (4932) 32-63-60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"mailto:to37@fas.gov.ru" </w:instrText>
      </w:r>
      <w:r>
        <w:fldChar w:fldCharType="separate"/>
      </w:r>
      <w:r>
        <w:rPr>
          <w:rStyle w:val="CharStyle6"/>
          <w:lang w:val="en-US" w:eastAsia="en-US"/>
        </w:rPr>
        <w:t>to37@fas.gov.ru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7.05.2026</w:t>
        <w:tab/>
      </w:r>
      <w:r>
        <w:fldChar w:fldCharType="end"/>
      </w:r>
      <w:r>
        <w:rPr>
          <w:rStyle w:val="CharStyle11"/>
        </w:rPr>
        <w:t>№ ТМ/1</w:t>
      </w:r>
      <w:r>
        <w:rPr>
          <w:rStyle w:val="CharStyle11"/>
          <w:u w:val="single"/>
        </w:rPr>
        <w:t>631/2</w:t>
      </w:r>
      <w:r>
        <w:rPr>
          <w:rStyle w:val="CharStyle11"/>
        </w:rPr>
        <w:t>6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b/>
          <w:bCs/>
          <w:sz w:val="28"/>
          <w:szCs w:val="28"/>
        </w:rPr>
        <w:t>ООО «МЕДПРОЕКТ «А.Ф.К.»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b/>
          <w:bCs/>
          <w:sz w:val="28"/>
          <w:szCs w:val="28"/>
        </w:rPr>
        <w:t>БГУ Ивановской области «Палехская районная станция по борьбе с болезнями животных»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56" w:bottom="1212" w:left="1135" w:header="0" w:footer="3" w:gutter="0"/>
          <w:pgNumType w:start="1"/>
          <w:cols w:num="2" w:space="720" w:equalWidth="0">
            <w:col w:w="4248" w:space="1022"/>
            <w:col w:w="4838"/>
          </w:cols>
          <w:noEndnote/>
          <w:titlePg/>
          <w:rtlGutter w:val="0"/>
          <w:docGrid w:linePitch="360"/>
        </w:sectPr>
      </w:pPr>
      <w:r>
        <w:rPr>
          <w:rStyle w:val="CharStyle14"/>
          <w:b/>
          <w:bCs/>
          <w:sz w:val="28"/>
          <w:szCs w:val="28"/>
        </w:rPr>
        <w:t>ЗАО «Ивановское региональное агентство конкурсов и аукционов»</w:t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4248" w:h="206" w:wrap="none" w:vAnchor="text" w:hAnchor="page" w:x="1136" w:y="2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7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35610" distB="0" distL="6350" distR="94615" simplePos="0" relativeHeight="62914692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448310</wp:posOffset>
            </wp:positionV>
            <wp:extent cx="2597150" cy="182880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6" w:bottom="1225" w:left="109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0" w:right="0" w:bottom="114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РЕШЕНИЕ №037/06/105-235/2026 (07-15/2026-066)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4"/>
        </w:rPr>
        <w:t>Дата оглашения решения: 04 мая 2026 года город Иваново Дата изготовления решения: 07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4"/>
        </w:rPr>
        <w:t>Комиссия Управления Федеральной антимонопольной службы по Ивановской области по контролю в сфере закупок (далее – Комиссия Ивановского УФАС России)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председателя Комиссии: Михеевой Т.А. –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4"/>
        </w:rPr>
        <w:t>членов Комиссии: Крутовой М.В. – начальника отдела контроля в сфере закупок, Жданкиной Ю.К. - главного специалиста-эксперта отдела контроля в сфере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заседание проведено в режиме видеоконференцсвязи при участии представителя ЗАО «Ивановское региональное агентство конкурсов и аукционов»: Шумилова Ярослава Александровича (доверенность от 30.04.2026),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4"/>
        </w:rPr>
        <w:t>в отсутствие представителей ООО «МедПроект «А.Ф.К.» (далее – Заявитель), БГУ «Палехская районная станция по борьбе с болезнями животных» (указанные лица надлежащим образом уведомлены о дате, времени и месте рассмотрения жалобы),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740"/>
        <w:jc w:val="both"/>
      </w:pPr>
      <w:r>
        <w:rPr>
          <w:rStyle w:val="CharStyle14"/>
        </w:rPr>
        <w:t>рассмотрев жалобу ООО «МедПроект «А.Ф.К.» на действия Единой Комиссии при проведении запроса котировок в электронной форме на поставку лабораторного оборудования для проведения диагностических исследований (бокс микробиологической безопасности) (извещение №0333200017726000002) и в результате осуществления внеплановой проверки в соответствии с п. 1 ч. 15 ст. 99 Федерального закона от 05.04.2013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2"/>
        </w:rPr>
        <w:t>IIIIIIIIIIIIIIIIIIIIII)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4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24.04.2026 </w:t>
      </w:r>
      <w:r>
        <w:rPr>
          <w:rStyle w:val="CharStyle14"/>
        </w:rPr>
        <w:t xml:space="preserve">в Управление Федеральной антимонопольной службы по Ивановской области поступила жалоба ООО «МедПроект «А.Ф.К.» на действия Единой Комиссии при проведении запроса котировок в электронной форме на поставку лабораторного оборудования для проведения диагностических исследований (бокс микробиологической безопасности) (извещение </w:t>
      </w:r>
      <w:r>
        <w:rPr>
          <w:rStyle w:val="CharStyle14"/>
          <w:lang w:val="en-US" w:eastAsia="en-US"/>
        </w:rPr>
        <w:t>№0333200017726000002).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4"/>
        </w:rPr>
        <w:t>Согласно жалобе Заявителя, ряд поставщиков на участие в закупках активно продвигают: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4"/>
        </w:rPr>
        <w:t xml:space="preserve">Установку очистки и обеззараживания воздуха БОВ-001-АМС по ТУ </w:t>
      </w:r>
      <w:r>
        <w:rPr>
          <w:rStyle w:val="CharStyle14"/>
          <w:lang w:val="en-US" w:eastAsia="en-US"/>
        </w:rPr>
        <w:t>9451-001</w:t>
        <w:softHyphen/>
        <w:t xml:space="preserve">21504087-2006. </w:t>
      </w:r>
      <w:r>
        <w:rPr>
          <w:rStyle w:val="CharStyle14"/>
        </w:rPr>
        <w:t>Вариант СЛШ-БМБ-1,2 АМ. Производитель АО «Асептические медицинские системы», Россия.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4"/>
        </w:rPr>
        <w:t xml:space="preserve">Бокс микробиологической безопасности </w:t>
      </w:r>
      <w:r>
        <w:rPr>
          <w:rStyle w:val="CharStyle14"/>
          <w:lang w:val="en-US" w:eastAsia="en-US"/>
        </w:rPr>
        <w:t xml:space="preserve">БМБ-II </w:t>
      </w:r>
      <w:r>
        <w:rPr>
          <w:rStyle w:val="CharStyle14"/>
        </w:rPr>
        <w:t xml:space="preserve">по ТУ </w:t>
      </w:r>
      <w:r>
        <w:rPr>
          <w:rStyle w:val="CharStyle14"/>
          <w:lang w:val="en-US" w:eastAsia="en-US"/>
        </w:rPr>
        <w:t>32.50.50-001-16725834</w:t>
        <w:softHyphen/>
        <w:t xml:space="preserve">2023 </w:t>
      </w:r>
      <w:r>
        <w:rPr>
          <w:rStyle w:val="CharStyle14"/>
        </w:rPr>
        <w:t xml:space="preserve">Модель АБАК М </w:t>
      </w:r>
      <w:r>
        <w:rPr>
          <w:rStyle w:val="CharStyle14"/>
          <w:lang w:val="en-US" w:eastAsia="en-US"/>
        </w:rPr>
        <w:t xml:space="preserve">1.2. </w:t>
      </w:r>
      <w:r>
        <w:rPr>
          <w:rStyle w:val="CharStyle14"/>
        </w:rPr>
        <w:t>Производитель ООО НПО «СПВЛАБ», Россия.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4"/>
        </w:rPr>
        <w:t xml:space="preserve">Вместе с тем, поставщики указанных установок могут предоставлять недостоверную информацию, касающуюся технических характеристик предлагаемого ими оборудования. На основании вышеизложенного, Заявитель предполагает, что с первого по третье место заняли участники, предложившие к поставке Установку очистки и обеззараживания воздуха БОВ-001-АМС по ТУ </w:t>
      </w:r>
      <w:r>
        <w:rPr>
          <w:rStyle w:val="CharStyle14"/>
          <w:lang w:val="en-US" w:eastAsia="en-US"/>
        </w:rPr>
        <w:t xml:space="preserve">9451-001- 21504087-2006. </w:t>
      </w:r>
      <w:r>
        <w:rPr>
          <w:rStyle w:val="CharStyle14"/>
        </w:rPr>
        <w:t xml:space="preserve">Вариант СЛШ-БМБ-1,2 АМ. Производитель АО «Асептические медицинские системы», Россия или Бокс микробиологической безопасности </w:t>
      </w:r>
      <w:r>
        <w:rPr>
          <w:rStyle w:val="CharStyle14"/>
          <w:lang w:val="en-US" w:eastAsia="en-US"/>
        </w:rPr>
        <w:t xml:space="preserve">БМБ-II </w:t>
      </w:r>
      <w:r>
        <w:rPr>
          <w:rStyle w:val="CharStyle14"/>
        </w:rPr>
        <w:t xml:space="preserve">по ТУ </w:t>
      </w:r>
      <w:r>
        <w:rPr>
          <w:rStyle w:val="CharStyle14"/>
          <w:lang w:val="en-US" w:eastAsia="en-US"/>
        </w:rPr>
        <w:t xml:space="preserve">32.50.50-001-16725834-2023 </w:t>
      </w:r>
      <w:r>
        <w:rPr>
          <w:rStyle w:val="CharStyle14"/>
        </w:rPr>
        <w:t xml:space="preserve">Модель АБАК М </w:t>
      </w:r>
      <w:r>
        <w:rPr>
          <w:rStyle w:val="CharStyle14"/>
          <w:lang w:val="en-US" w:eastAsia="en-US"/>
        </w:rPr>
        <w:t xml:space="preserve">1.2. </w:t>
      </w:r>
      <w:r>
        <w:rPr>
          <w:rStyle w:val="CharStyle14"/>
        </w:rPr>
        <w:t>Производитель ООО НПО «СПВЛАБ», Россия. В состав таких заявок могут быть включены недостоверные сведения относительно таких характеристик, как Направление воздушных потоков, Средняя скорость воздушного потока в рабочей камере бокса в рабочем режиме, метр в секунду, Устанавливаемый объем потока воздуха, кубический метр в час, Тип оборудования.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820"/>
        <w:jc w:val="both"/>
      </w:pPr>
      <w:r>
        <w:rPr>
          <w:rStyle w:val="CharStyle14"/>
        </w:rPr>
        <w:t xml:space="preserve">Таким образом, в случае наличия недостоверной информации у заявок участников закупки с порядковыми номерами </w:t>
      </w:r>
      <w:r>
        <w:rPr>
          <w:rStyle w:val="CharStyle14"/>
          <w:lang w:val="en-US" w:eastAsia="en-US"/>
        </w:rPr>
        <w:t xml:space="preserve">1, 2, </w:t>
      </w:r>
      <w:r>
        <w:rPr>
          <w:rStyle w:val="CharStyle14"/>
        </w:rPr>
        <w:t>Единой комиссии следовало их отклонить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4"/>
        </w:rPr>
        <w:t>Согласно письменным возражениям ЗАО «Ивановское региональное агентство конкурсов и аукционов», БГУ «Палехская районная станция по борьбе с болезнями животных» не согласны с доводом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4"/>
        </w:rPr>
        <w:t xml:space="preserve">Рассмотрев представленные ООО «МедПроект «А.Ф.К.», БГУ «Палехская районная станция по борьбе с болезнями животных», АО «ЕЭТП» документы, заслушав представителя ЗАО «Ивановское региональное агентство конкурсов и аукционов», участвующего при рассмотрении жалобы, проведя внеплановую проверку в соответствии с ч.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системе, Комиссия Ивановского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16.04.2026 </w:t>
      </w:r>
      <w:r>
        <w:rPr>
          <w:rStyle w:val="CharStyle14"/>
        </w:rPr>
        <w:t xml:space="preserve">на официальном сайте единой информационной системы в сфере закупок в информационно-телекоммуникационной сети Интернет </w:t>
      </w:r>
      <w:r>
        <w:rPr>
          <w:rStyle w:val="CharStyle14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4"/>
          <w:lang w:val="en-US" w:eastAsia="en-US"/>
        </w:rPr>
        <w:t>www.zakupki.gov.ru</w:t>
      </w:r>
      <w:r>
        <w:fldChar w:fldCharType="end"/>
      </w:r>
      <w:r>
        <w:rPr>
          <w:rStyle w:val="CharStyle14"/>
          <w:lang w:val="en-US" w:eastAsia="en-US"/>
        </w:rPr>
        <w:t xml:space="preserve">)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официальный сайт) было размещено извещение </w:t>
      </w:r>
      <w:r>
        <w:rPr>
          <w:rStyle w:val="CharStyle14"/>
          <w:lang w:val="en-US" w:eastAsia="en-US"/>
        </w:rPr>
        <w:t xml:space="preserve">0333200017726000002 </w:t>
      </w:r>
      <w:r>
        <w:rPr>
          <w:rStyle w:val="CharStyle14"/>
        </w:rPr>
        <w:t>о проведении запроса котировок в электронной форме на поставку лабораторного оборудования для проведения диагностических исследований (бокс микробиологической безопасности).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4"/>
        </w:rPr>
        <w:t>В соответствии с извещением об осуществлении закупки, протоколом, составленным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</w:rPr>
        <w:t>при определении поставщика (подрядчика, исполнителя), размещенном на официальном сайте: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54" w:lineRule="auto"/>
        <w:ind w:left="0" w:right="0" w:firstLine="80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– 854 000,00 </w:t>
      </w:r>
      <w:r>
        <w:rPr>
          <w:rStyle w:val="CharStyle14"/>
        </w:rPr>
        <w:t>руб.;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54" w:lineRule="auto"/>
        <w:ind w:left="0" w:right="0" w:firstLine="800"/>
        <w:jc w:val="both"/>
      </w:pPr>
      <w:r>
        <w:rPr>
          <w:rStyle w:val="CharStyle14"/>
        </w:rPr>
        <w:t xml:space="preserve">дата и время окончания срока подачи заявок </w:t>
      </w:r>
      <w:r>
        <w:rPr>
          <w:rStyle w:val="CharStyle14"/>
          <w:lang w:val="en-US" w:eastAsia="en-US"/>
        </w:rPr>
        <w:t>– 23.04.2026 08:00;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54" w:lineRule="auto"/>
        <w:ind w:left="0" w:right="0" w:firstLine="800"/>
        <w:jc w:val="both"/>
      </w:pPr>
      <w:r>
        <w:rPr>
          <w:rStyle w:val="CharStyle14"/>
        </w:rPr>
        <w:t xml:space="preserve">дата подведения итогов определения поставщика (подрядчика, исполнителя) </w:t>
      </w:r>
      <w:r>
        <w:rPr>
          <w:rStyle w:val="CharStyle14"/>
          <w:lang w:val="en-US" w:eastAsia="en-US"/>
        </w:rPr>
        <w:t>– 27.04.2026;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54" w:lineRule="auto"/>
        <w:ind w:left="0" w:right="0" w:firstLine="800"/>
        <w:jc w:val="both"/>
      </w:pPr>
      <w:r>
        <w:rPr>
          <w:rStyle w:val="CharStyle14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23.04.2026 </w:t>
      </w:r>
      <w:r>
        <w:rPr>
          <w:rStyle w:val="CharStyle14"/>
        </w:rPr>
        <w:t xml:space="preserve">№ИЗК1 на участие в закупке были поданы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заявок. Все заявки участников закупки были признаны соответствующими извещению о проведении закупки и Закону о контрактной системе. Победителем закупки признан участник закупки с идентификационным номером </w:t>
      </w:r>
      <w:r>
        <w:rPr>
          <w:rStyle w:val="CharStyle14"/>
          <w:lang w:val="en-US" w:eastAsia="en-US"/>
        </w:rPr>
        <w:t>3138338.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«Техническая часть» извещения о закупке, Заказчиком установлены следующие характеристики закупаемого товара:</w:t>
      </w:r>
    </w:p>
    <w:tbl>
      <w:tblPr>
        <w:tblOverlap w:val="never"/>
        <w:jc w:val="center"/>
        <w:tblLayout w:type="fixed"/>
      </w:tblPr>
      <w:tblGrid>
        <w:gridCol w:w="1992"/>
        <w:gridCol w:w="3638"/>
        <w:gridCol w:w="2246"/>
        <w:gridCol w:w="2587"/>
      </w:tblGrid>
      <w:tr>
        <w:trPr>
          <w:trHeight w:val="139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Наименование характеристики, ед. изм.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>
        <w:trPr>
          <w:trHeight w:val="55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Описание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Специальный шкаф для частичной или полной изоляции, в целях обеспечения уровня биологической безопасности (УББ) класса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II </w:t>
            </w:r>
            <w:r>
              <w:rPr>
                <w:rStyle w:val="CharStyle24"/>
                <w:sz w:val="20"/>
                <w:szCs w:val="20"/>
              </w:rPr>
              <w:t xml:space="preserve">для оператора, продукта и окружающей среды при работе с микроорганизмами и другими опасными биоматериалами (обычно по категорию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3 </w:t>
            </w:r>
            <w:r>
              <w:rPr>
                <w:rStyle w:val="CharStyle24"/>
                <w:sz w:val="20"/>
                <w:szCs w:val="20"/>
              </w:rPr>
              <w:t xml:space="preserve">включительно). Защита обычно обеспечивается ламинарным воздушным потоком (ЛВП), воздушным фильтром тонкой очистки (ВФТО) и/или угольным фильтром и парами перекиси водорода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>(H2O2).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Используется для работы с клеточными культурами и патогенами (бактериями, вирусами, паразитами и т. п.) и другими биологически опасными материалами, высокотоксичными веществами (например, химиотерапевтическими препаратами), онкологическими тканевыми культурами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Номенклатурная классификация медицинских изделий по видам утверждена приказом Министерства здравоохранения Российской Федерации от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6 </w:t>
            </w:r>
            <w:r>
              <w:rPr>
                <w:rStyle w:val="CharStyle24"/>
                <w:sz w:val="20"/>
                <w:szCs w:val="20"/>
              </w:rPr>
              <w:t xml:space="preserve">июня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2012 </w:t>
            </w:r>
            <w:r>
              <w:rPr>
                <w:rStyle w:val="CharStyle24"/>
                <w:sz w:val="20"/>
                <w:szCs w:val="20"/>
              </w:rPr>
              <w:t xml:space="preserve">г.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24"/>
                <w:sz w:val="20"/>
                <w:szCs w:val="20"/>
              </w:rPr>
              <w:t>4н «Об утверждении номенклатурной классификации медицинских изделий»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3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Аварийная сигнализация при нарушении параметров воздушных потоков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в соответствии с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6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Автоматическое поддержание заданных параметров воздушных потоков в рабочей зоне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в соответствии с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Возможность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в соответствии с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Значение характеристики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992"/>
        <w:gridCol w:w="3638"/>
        <w:gridCol w:w="2246"/>
        <w:gridCol w:w="2587"/>
      </w:tblGrid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использования угольного фильтра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не может изменяться участником закупки</w:t>
            </w:r>
          </w:p>
        </w:tc>
      </w:tr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Глубина рабочей камеры,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≥ 420 </w:t>
            </w:r>
            <w:r>
              <w:rPr>
                <w:rStyle w:val="CharStyle24"/>
                <w:sz w:val="20"/>
                <w:szCs w:val="20"/>
              </w:rPr>
              <w:t xml:space="preserve">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>≤ 650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в соответствии с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Ширина рабочей камеры,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≥ 900 </w:t>
            </w:r>
            <w:r>
              <w:rPr>
                <w:rStyle w:val="CharStyle24"/>
                <w:sz w:val="20"/>
                <w:szCs w:val="20"/>
              </w:rPr>
              <w:t xml:space="preserve">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>≤ 1410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в соответствии с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8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220" w:right="0" w:firstLine="40"/>
              <w:jc w:val="both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Двухступенчатая система фильтров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в соответствии с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8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Направление воздушных потоков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Нисходящий по всему сечению рабочей камеры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в соответствии с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6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Средняя скорость воздушного потока в рабочей камере бокса в рабочем режиме, Метр в секунду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≥ 0.2 </w:t>
            </w:r>
            <w:r>
              <w:rPr>
                <w:rStyle w:val="CharStyle24"/>
                <w:sz w:val="20"/>
                <w:szCs w:val="20"/>
              </w:rPr>
              <w:t xml:space="preserve">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>≤ 0.45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в соответствии с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8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Счетчик наработки фильтра/ламп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в соответствии с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1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Уровень шума, Децибел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≥ 54 </w:t>
            </w:r>
            <w:r>
              <w:rPr>
                <w:rStyle w:val="CharStyle24"/>
                <w:sz w:val="20"/>
                <w:szCs w:val="20"/>
              </w:rPr>
              <w:t xml:space="preserve">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>≤ 65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в соответствии с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3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Устанавливаемый объем потока воздуха, Кубический метр в час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≥ 750 </w:t>
            </w:r>
            <w:r>
              <w:rPr>
                <w:rStyle w:val="CharStyle24"/>
                <w:sz w:val="20"/>
                <w:szCs w:val="20"/>
              </w:rPr>
              <w:t xml:space="preserve">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>≤ 1350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в соответствии с КТРУ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14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Тип оборудования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Бокс микробиологической безопасности класс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II </w:t>
            </w:r>
            <w:r>
              <w:rPr>
                <w:rStyle w:val="CharStyle24"/>
                <w:sz w:val="20"/>
                <w:szCs w:val="20"/>
              </w:rPr>
              <w:t>тип А2 для защиты оператора, продукта и окружающей среды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Требуемый Заказчику тип оборудования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i/>
                <w:i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Согласно сведениям, представленным АО «ЕЭТП», поданы и ранжированы с </w:t>
      </w:r>
      <w:r>
        <w:rPr>
          <w:rStyle w:val="CharStyle14"/>
          <w:lang w:val="en-US" w:eastAsia="en-US"/>
        </w:rPr>
        <w:t xml:space="preserve">1-3 </w:t>
      </w:r>
      <w:r>
        <w:rPr>
          <w:rStyle w:val="CharStyle14"/>
        </w:rPr>
        <w:t>место следующие заявки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место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участник с идентификационным номером </w:t>
      </w:r>
      <w:r>
        <w:rPr>
          <w:rStyle w:val="CharStyle14"/>
          <w:lang w:val="en-US" w:eastAsia="en-US"/>
        </w:rPr>
        <w:t xml:space="preserve">3138338 </w:t>
      </w:r>
      <w:r>
        <w:rPr>
          <w:rStyle w:val="CharStyle14"/>
        </w:rPr>
        <w:t xml:space="preserve">(ООО «Девиант). Предложенный к поставке товар: бокс микробиологической безопасности </w:t>
      </w:r>
      <w:r>
        <w:rPr>
          <w:rStyle w:val="CharStyle14"/>
          <w:lang w:val="en-US" w:eastAsia="en-US"/>
        </w:rPr>
        <w:t xml:space="preserve">БМБ-II- </w:t>
      </w:r>
      <w:r>
        <w:rPr>
          <w:rStyle w:val="CharStyle14"/>
        </w:rPr>
        <w:t xml:space="preserve">«Ламинар-С» по ТУ </w:t>
      </w:r>
      <w:r>
        <w:rPr>
          <w:rStyle w:val="CharStyle14"/>
          <w:lang w:val="en-US" w:eastAsia="en-US"/>
        </w:rPr>
        <w:t xml:space="preserve">32.50.50-010-51495026-2020 </w:t>
      </w:r>
      <w:r>
        <w:rPr>
          <w:rStyle w:val="CharStyle14"/>
        </w:rPr>
        <w:t xml:space="preserve">в исполнении </w:t>
      </w:r>
      <w:r>
        <w:rPr>
          <w:rStyle w:val="CharStyle14"/>
          <w:lang w:val="en-US" w:eastAsia="en-US"/>
        </w:rPr>
        <w:t xml:space="preserve">БМБ-II-«Ламинар-С - 1,2 (SAVVY SL). </w:t>
      </w:r>
      <w:r>
        <w:rPr>
          <w:rStyle w:val="CharStyle14"/>
        </w:rPr>
        <w:t xml:space="preserve">Регистрационный номер медицинского изделия: ФСР </w:t>
      </w:r>
      <w:r>
        <w:rPr>
          <w:rStyle w:val="CharStyle14"/>
          <w:lang w:val="en-US" w:eastAsia="en-US"/>
        </w:rPr>
        <w:t>2012/13259;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3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место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участник закупки с идентификационным номером </w:t>
      </w:r>
      <w:r>
        <w:rPr>
          <w:rStyle w:val="CharStyle14"/>
          <w:lang w:val="en-US" w:eastAsia="en-US"/>
        </w:rPr>
        <w:t xml:space="preserve">3134977 </w:t>
      </w:r>
      <w:r>
        <w:rPr>
          <w:rStyle w:val="CharStyle14"/>
        </w:rPr>
        <w:t xml:space="preserve">(ООО «Анта»). Предложенный к поставке товар: бокс микробиологической безопасности </w:t>
      </w:r>
      <w:r>
        <w:rPr>
          <w:rStyle w:val="CharStyle14"/>
          <w:lang w:val="en-US" w:eastAsia="en-US"/>
        </w:rPr>
        <w:t xml:space="preserve">БМБ-II </w:t>
      </w:r>
      <w:r>
        <w:rPr>
          <w:rStyle w:val="CharStyle14"/>
        </w:rPr>
        <w:t xml:space="preserve">по ТУ </w:t>
      </w:r>
      <w:r>
        <w:rPr>
          <w:rStyle w:val="CharStyle14"/>
          <w:lang w:val="en-US" w:eastAsia="en-US"/>
        </w:rPr>
        <w:t xml:space="preserve">32.50.50-001-16725834-2023. </w:t>
      </w:r>
      <w:r>
        <w:rPr>
          <w:rStyle w:val="CharStyle14"/>
        </w:rPr>
        <w:t xml:space="preserve">Регистрационный номер медицинского изделия: РЗН </w:t>
      </w:r>
      <w:r>
        <w:rPr>
          <w:rStyle w:val="CharStyle14"/>
          <w:lang w:val="en-US" w:eastAsia="en-US"/>
        </w:rPr>
        <w:t>2025/25236;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8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 xml:space="preserve">место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участник с идентификационным номером </w:t>
      </w:r>
      <w:r>
        <w:rPr>
          <w:rStyle w:val="CharStyle14"/>
          <w:lang w:val="en-US" w:eastAsia="en-US"/>
        </w:rPr>
        <w:t xml:space="preserve">3129791 </w:t>
      </w:r>
      <w:r>
        <w:rPr>
          <w:rStyle w:val="CharStyle14"/>
        </w:rPr>
        <w:t>(ООО «МедПроект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«А.Ф.К.»). Предложенный к поставке товар: бокс микробиологической безопасности БМБ- </w:t>
      </w:r>
      <w:r>
        <w:rPr>
          <w:rStyle w:val="CharStyle14"/>
          <w:lang w:val="en-US" w:eastAsia="en-US"/>
        </w:rPr>
        <w:t xml:space="preserve">II- </w:t>
      </w:r>
      <w:r>
        <w:rPr>
          <w:rStyle w:val="CharStyle14"/>
        </w:rPr>
        <w:t xml:space="preserve">«Ламинар-С» по ТУ </w:t>
      </w:r>
      <w:r>
        <w:rPr>
          <w:rStyle w:val="CharStyle14"/>
          <w:lang w:val="en-US" w:eastAsia="en-US"/>
        </w:rPr>
        <w:t xml:space="preserve">32.50.50-010-51495026-2020 </w:t>
      </w:r>
      <w:r>
        <w:rPr>
          <w:rStyle w:val="CharStyle14"/>
        </w:rPr>
        <w:t xml:space="preserve">в исполнении </w:t>
      </w:r>
      <w:r>
        <w:rPr>
          <w:rStyle w:val="CharStyle14"/>
          <w:lang w:val="en-US" w:eastAsia="en-US"/>
        </w:rPr>
        <w:t xml:space="preserve">БМБ-II-«Ламинар-С – 0,9 (NEOTERIC). </w:t>
      </w:r>
      <w:r>
        <w:rPr>
          <w:rStyle w:val="CharStyle14"/>
        </w:rPr>
        <w:t xml:space="preserve">Регистрационный номер медицинского изделия: ФСР </w:t>
      </w:r>
      <w:r>
        <w:rPr>
          <w:rStyle w:val="CharStyle14"/>
          <w:lang w:val="en-US" w:eastAsia="en-US"/>
        </w:rPr>
        <w:t>2012/13259.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Остальные заявки участников закупки не содержали в своем составе предложения о поставке товаров, указанных Заявителем.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Участники закупки, занявшие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место, предложили идентичные товары, но в разном исполнении.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Относительно участника закупки с идентификационным номером </w:t>
      </w:r>
      <w:r>
        <w:rPr>
          <w:rStyle w:val="CharStyle14"/>
          <w:lang w:val="en-US" w:eastAsia="en-US"/>
        </w:rPr>
        <w:t xml:space="preserve">3134977 </w:t>
      </w:r>
      <w:r>
        <w:rPr>
          <w:rStyle w:val="CharStyle14"/>
        </w:rPr>
        <w:t>(ООО «Анта»)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В составе заявке приложен паспорт товара «Бокс микробиологической безопасности </w:t>
      </w:r>
      <w:r>
        <w:rPr>
          <w:rStyle w:val="CharStyle14"/>
          <w:lang w:val="en-US" w:eastAsia="en-US"/>
        </w:rPr>
        <w:t xml:space="preserve">БМБ-II SPVLAB® </w:t>
      </w:r>
      <w:r>
        <w:rPr>
          <w:rStyle w:val="CharStyle14"/>
        </w:rPr>
        <w:t xml:space="preserve">АБАК М </w:t>
      </w:r>
      <w:r>
        <w:rPr>
          <w:rStyle w:val="CharStyle14"/>
          <w:lang w:val="en-US" w:eastAsia="en-US"/>
        </w:rPr>
        <w:t xml:space="preserve">1.2», </w:t>
      </w:r>
      <w:r>
        <w:rPr>
          <w:rStyle w:val="CharStyle14"/>
        </w:rPr>
        <w:t xml:space="preserve">согласно п.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которого им обеспечивается уровень биологической безопасности (УББ) класса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(бокс предназначен для частичной или полной изоляции в целях уменьшения риска заражения оператора). П.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руководства по эксплуатации, размещенном на сайте Росздравнадзора также подтверждает информацию из паспорта изделия. Таким образом, довод Заявителя жалобы об отсутствии защиты оператора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Относительно характеристик: направление воздушных потоков, средняя скорость воздушного потока в рабочей камере бокса в рабочем режиме, устанавливаемый объем потока воздуха установлено отсутствие противоречий извещению о проведении закупки, а также отсутствие недостоверных сведений в составе заявки.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Заявка участника закупки с идентификационным номером </w:t>
      </w:r>
      <w:r>
        <w:rPr>
          <w:rStyle w:val="CharStyle14"/>
          <w:lang w:val="en-US" w:eastAsia="en-US"/>
        </w:rPr>
        <w:t xml:space="preserve">3134977 </w:t>
      </w:r>
      <w:r>
        <w:rPr>
          <w:rStyle w:val="CharStyle14"/>
        </w:rPr>
        <w:t>(ООО «Анта») соответствовала требованиям извещения о проведении закупки. Отсутствие каких-либо характеристик на сайте Росздравнадзора не подтверждает факт недостоверности предложенного товара. Обратного Заявителем не доказано.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Также Заявителем не представлено доказательств недостоверности, предложенных участниками закупки к поставке товаров. Довод Заявителя основывается только на предложениях и не подтверждается какими-либо доказательствами. Также, Заявитель не принимал участие в заседании Комиссии Ивановского УФАС России, своих представителей на рассмотрение жалобы не направил.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Кроме вышеуказанного, стоит отметить, что в жалобе не предоставлено доказательств нарушения прав Заявителя. Победителем закупки был предложен аналогичный товар, который предложило в составе своей заявки ООО «МедПроект «А.Ф.К.».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В соответствии с подпунктом «а»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статьи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члены комиссии по осуществлению закупок: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4"/>
          <w:lang w:val="en-US" w:eastAsia="en-US"/>
        </w:rPr>
        <w:t xml:space="preserve">1 - 8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>На основании вышеизложенного, Комиссия Ивановского УФАС России не усматривает нарушений Закона о контрактной системе в действиях Единой Комиссии.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560"/>
        <w:jc w:val="both"/>
      </w:pPr>
      <w:r>
        <w:rPr>
          <w:rStyle w:val="CharStyle14"/>
        </w:rPr>
        <w:t xml:space="preserve">Руководствуясь ст.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>Закона о контрактной системе, Комиссия Ивановского УФАС России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 Е Ш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14"/>
        </w:rPr>
        <w:t xml:space="preserve">Признать жалобу ООО «МедПроект «А.Ф.К.» на действия Единой Комиссии при проведении запроса котировок в электронной форме на поставку лабораторного оборудования для проведения диагностических исследований (бокс микробиологической безопасности) (извещение </w:t>
      </w:r>
      <w:r>
        <w:rPr>
          <w:rStyle w:val="CharStyle14"/>
          <w:lang w:val="en-US" w:eastAsia="en-US"/>
        </w:rPr>
        <w:t xml:space="preserve">№0333200017726000002)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14"/>
        </w:rPr>
        <w:t>Решение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0" w:right="429" w:bottom="1140" w:left="10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0" distB="192405" distL="0" distR="0" simplePos="0" relativeHeight="125829378" behindDoc="0" locked="0" layoutInCell="1" allowOverlap="1">
                <wp:simplePos x="0" y="0"/>
                <wp:positionH relativeFrom="page">
                  <wp:posOffset>744220</wp:posOffset>
                </wp:positionH>
                <wp:positionV relativeFrom="paragraph">
                  <wp:posOffset>254000</wp:posOffset>
                </wp:positionV>
                <wp:extent cx="1871345" cy="25273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13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4"/>
                                <w:sz w:val="28"/>
                                <w:szCs w:val="28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600000000000001pt;margin-top:20.pt;width:147.34999999999999pt;height:19.900000000000002pt;z-index:-125829375;mso-wrap-distance-left:0;mso-wrap-distance-top:2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4"/>
                          <w:sz w:val="28"/>
                          <w:szCs w:val="28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4330" distB="635" distL="0" distR="0" simplePos="0" relativeHeight="125829380" behindDoc="0" locked="0" layoutInCell="1" allowOverlap="1">
            <wp:simplePos x="0" y="0"/>
            <wp:positionH relativeFrom="page">
              <wp:posOffset>2691765</wp:posOffset>
            </wp:positionH>
            <wp:positionV relativeFrom="paragraph">
              <wp:posOffset>354330</wp:posOffset>
            </wp:positionV>
            <wp:extent cx="298450" cy="34734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15290" distB="24765" distL="0" distR="0" simplePos="0" relativeHeight="125829381" behindDoc="0" locked="0" layoutInCell="1" allowOverlap="1">
                <wp:simplePos x="0" y="0"/>
                <wp:positionH relativeFrom="page">
                  <wp:posOffset>3082290</wp:posOffset>
                </wp:positionH>
                <wp:positionV relativeFrom="paragraph">
                  <wp:posOffset>415290</wp:posOffset>
                </wp:positionV>
                <wp:extent cx="1722120" cy="25908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42.70000000000002pt;margin-top:32.700000000000003pt;width:135.59999999999999pt;height:20.400000000000002pt;z-index:-125829372;mso-wrap-distance-left:0;mso-wrap-distance-top:32.700000000000003pt;mso-wrap-distance-right:0;mso-wrap-distance-bottom:1.95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192405" distL="0" distR="0" simplePos="0" relativeHeight="125829383" behindDoc="0" locked="0" layoutInCell="1" allowOverlap="1">
                <wp:simplePos x="0" y="0"/>
                <wp:positionH relativeFrom="page">
                  <wp:posOffset>6157595</wp:posOffset>
                </wp:positionH>
                <wp:positionV relativeFrom="paragraph">
                  <wp:posOffset>254000</wp:posOffset>
                </wp:positionV>
                <wp:extent cx="1039495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4"/>
                                <w:sz w:val="28"/>
                                <w:szCs w:val="28"/>
                              </w:rPr>
                              <w:t>Т.А. Михеева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84.85000000000002pt;margin-top:20.pt;width:81.850000000000009pt;height:19.900000000000002pt;z-index:-125829370;mso-wrap-distance-left:0;mso-wrap-distance-top:2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4"/>
                          <w:sz w:val="28"/>
                          <w:szCs w:val="28"/>
                        </w:rPr>
                        <w:t>Т.А. Михеева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76200" distR="76200" simplePos="0" relativeHeight="125829385" behindDoc="0" locked="0" layoutInCell="1" allowOverlap="1">
            <wp:simplePos x="0" y="0"/>
            <wp:positionH relativeFrom="page">
              <wp:posOffset>2691765</wp:posOffset>
            </wp:positionH>
            <wp:positionV relativeFrom="paragraph">
              <wp:posOffset>987425</wp:posOffset>
            </wp:positionV>
            <wp:extent cx="298450" cy="347345"/>
            <wp:wrapSquare wrapText="righ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76200" distR="76200" simplePos="0" relativeHeight="125829386" behindDoc="0" locked="0" layoutInCell="1" allowOverlap="1">
            <wp:simplePos x="0" y="0"/>
            <wp:positionH relativeFrom="page">
              <wp:posOffset>2691765</wp:posOffset>
            </wp:positionH>
            <wp:positionV relativeFrom="paragraph">
              <wp:posOffset>2081530</wp:posOffset>
            </wp:positionV>
            <wp:extent cx="298450" cy="34734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1090930" distL="297180" distR="114300" simplePos="0" relativeHeight="125829387" behindDoc="0" locked="0" layoutInCell="1" allowOverlap="1">
                <wp:simplePos x="0" y="0"/>
                <wp:positionH relativeFrom="page">
                  <wp:posOffset>6132830</wp:posOffset>
                </wp:positionH>
                <wp:positionV relativeFrom="paragraph">
                  <wp:posOffset>890270</wp:posOffset>
                </wp:positionV>
                <wp:extent cx="1063625" cy="250190"/>
                <wp:wrapSquare wrapText="left"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4"/>
                                <w:sz w:val="28"/>
                                <w:szCs w:val="28"/>
                              </w:rPr>
                              <w:t>М.В. Крутова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82.90000000000003pt;margin-top:70.100000000000009pt;width:83.75pt;height:19.699999999999999pt;z-index:-125829366;mso-wrap-distance-left:23.400000000000002pt;mso-wrap-distance-right:9.pt;mso-wrap-distance-bottom:85.90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4"/>
                          <w:sz w:val="28"/>
                          <w:szCs w:val="28"/>
                        </w:rPr>
                        <w:t>М.В. Крутова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090930" distB="0" distL="114300" distR="117475" simplePos="0" relativeHeight="125829389" behindDoc="0" locked="0" layoutInCell="1" allowOverlap="1">
                <wp:simplePos x="0" y="0"/>
                <wp:positionH relativeFrom="page">
                  <wp:posOffset>5949950</wp:posOffset>
                </wp:positionH>
                <wp:positionV relativeFrom="paragraph">
                  <wp:posOffset>1981200</wp:posOffset>
                </wp:positionV>
                <wp:extent cx="1243330" cy="250190"/>
                <wp:wrapSquare wrapText="left"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4"/>
                                <w:sz w:val="28"/>
                                <w:szCs w:val="28"/>
                              </w:rPr>
                              <w:t>Ю.К. Жданкина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8.5pt;margin-top:156.pt;width:97.900000000000006pt;height:19.699999999999999pt;z-index:-125829364;mso-wrap-distance-left:9.pt;mso-wrap-distance-top:85.900000000000006pt;mso-wrap-distance-right: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4"/>
                          <w:sz w:val="28"/>
                          <w:szCs w:val="28"/>
                        </w:rPr>
                        <w:t>Ю.К. Жданкина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Михеева Татьяна Алексеевна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36A9594D2B27241A63F07777E2AC7875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0"/>
        </w:rPr>
        <w:t xml:space="preserve">Действителен с 28.05.2025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21.08.2026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sz w:val="28"/>
          <w:szCs w:val="28"/>
        </w:rPr>
        <w:t>Члены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left"/>
      </w:pPr>
      <w:r>
        <w:rPr>
          <w:rStyle w:val="CharStyle2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Крутова Марина Владимировна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00E89C8D08D17006C4FD5542DC019FD92</w:t>
      </w:r>
      <w:r>
        <w:rPr>
          <w:rStyle w:val="CharStyle30"/>
          <w:lang w:val="en-US" w:eastAsia="en-US"/>
        </w:rPr>
        <w:t>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30"/>
        </w:rPr>
        <w:t xml:space="preserve">Действителен с 28.04.2026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22.07.2027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left"/>
      </w:pPr>
      <w:r>
        <w:rPr>
          <w:rStyle w:val="CharStyle2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Жданкина Юлия Константиновна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0489C4D00A363D6748F1FFAED9566C9F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30"/>
        </w:rPr>
        <w:t xml:space="preserve">Действителен с 12.05.2025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05.08.2026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26" w:right="551" w:bottom="1426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2026-2022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25pt;margin-top:775.70000000000005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8"/>
      <w:szCs w:val="18"/>
      <w:u w:val="none"/>
    </w:rPr>
  </w:style>
  <w:style w:type="character" w:customStyle="1" w:styleId="CharStyle20">
    <w:name w:val="Body text (2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0">
    <w:name w:val="Body text (3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3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  <w:spacing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8"/>
      <w:szCs w:val="18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spacing w:after="1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9">
    <w:name w:val="Body text (3)"/>
    <w:basedOn w:val="Normal"/>
    <w:link w:val="CharStyle3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