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88900" distL="114300" distR="1040765" simplePos="0" relativeHeight="125829378" behindDoc="0" locked="0" layoutInCell="1" allowOverlap="1">
                <wp:simplePos x="0" y="0"/>
                <wp:positionH relativeFrom="page">
                  <wp:posOffset>659765</wp:posOffset>
                </wp:positionH>
                <wp:positionV relativeFrom="paragraph">
                  <wp:posOffset>12700</wp:posOffset>
                </wp:positionV>
                <wp:extent cx="2578735" cy="1246505"/>
                <wp:wrapTopAndBottom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246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  <w:br/>
                              <w:t>Федеральной антимонопольной</w:t>
                              <w:br/>
                              <w:t>службы</w:t>
                              <w:br/>
                              <w:t>по Республике Татарстан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1.950000000000003pt;margin-top:1.pt;width:203.05000000000001pt;height:98.150000000000006pt;z-index:-125829375;mso-wrap-distance-left:9.pt;mso-wrap-distance-right:81.950000000000003pt;mso-wrap-distance-bottom:7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  <w:br/>
                        <w:t>Федеральной антимонопольной</w:t>
                        <w:br/>
                        <w:t>службы</w:t>
                        <w:br/>
                        <w:t>по Республике Татарстан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30810" distB="549275" distL="3040380" distR="114300" simplePos="0" relativeHeight="125829380" behindDoc="0" locked="0" layoutInCell="1" allowOverlap="1">
            <wp:simplePos x="0" y="0"/>
            <wp:positionH relativeFrom="page">
              <wp:posOffset>3585845</wp:posOffset>
            </wp:positionH>
            <wp:positionV relativeFrom="paragraph">
              <wp:posOffset>143510</wp:posOffset>
            </wp:positionV>
            <wp:extent cx="579120" cy="658495"/>
            <wp:wrapTopAndBottom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79120" cy="65849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</w:pPr>
      <w:r>
        <w:rPr>
          <w:rStyle w:val="CharStyle5"/>
        </w:rPr>
        <w:t>ул. Московская, д. 55, г. Казань, 420021</w:t>
        <w:br/>
        <w:t>тел.: (843) 236-89-22. факс (843) 238-19-46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</w:pPr>
      <w:r>
        <w:rPr>
          <w:rStyle w:val="CharStyle5"/>
          <w:lang w:val="en-US" w:eastAsia="en-US"/>
        </w:rPr>
        <w:t xml:space="preserve">e-mail: to </w:t>
      </w:r>
      <w:r>
        <w:fldChar w:fldCharType="begin"/>
      </w:r>
      <w:r>
        <w:rPr/>
        <w:instrText> HYPERLINK "mailto:I6@fas.gov.ru" </w:instrText>
      </w:r>
      <w:r>
        <w:fldChar w:fldCharType="separate"/>
      </w:r>
      <w:r>
        <w:rPr>
          <w:rStyle w:val="CharStyle5"/>
          <w:lang w:val="en-US" w:eastAsia="en-US"/>
        </w:rPr>
        <w:t>I6@fas.gov.ru</w:t>
      </w:r>
      <w:r>
        <w:fldChar w:fldCharType="end"/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МОНОПОЛИЯМ КАРШЫ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3"/>
          <w:b/>
          <w:bCs/>
        </w:rPr>
        <w:t>ФЕДЕРАЛЬ ХЕЗМЭТ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3"/>
          <w:b/>
          <w:bCs/>
        </w:rPr>
        <w:t>Монополиягэ карты</w:t>
        <w:br/>
        <w:t>Федераль хезмэтнец</w:t>
        <w:br/>
        <w:t>Татарстан Республикасы</w:t>
        <w:br/>
        <w:t>буенча идарэсе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1900" w:h="16840"/>
          <w:pgMar w:top="1050" w:right="1357" w:bottom="1325" w:left="1601" w:header="622" w:footer="897" w:gutter="0"/>
          <w:pgNumType w:start="1"/>
          <w:cols w:num="2" w:space="2530"/>
          <w:noEndnote/>
          <w:rtlGutter w:val="0"/>
          <w:docGrid w:linePitch="360"/>
        </w:sectPr>
      </w:pPr>
      <w:r>
        <w:rPr>
          <w:rStyle w:val="CharStyle5"/>
        </w:rPr>
        <w:t>Мэскэу ур., 55 йорт. Казан шэЬэре, 420021</w:t>
        <w:br/>
        <w:t>тел.: (843) 236-89-22, факс (843) 238-19-46</w:t>
        <w:br/>
      </w:r>
      <w:r>
        <w:rPr>
          <w:rStyle w:val="CharStyle5"/>
          <w:lang w:val="en-US" w:eastAsia="en-US"/>
        </w:rPr>
        <w:t xml:space="preserve">e-mail: to </w:t>
      </w:r>
      <w:r>
        <w:rPr>
          <w:rStyle w:val="CharStyle5"/>
        </w:rPr>
        <w:t>16(</w:t>
      </w:r>
      <w:r>
        <w:rPr>
          <w:rStyle w:val="CharStyle5"/>
        </w:rPr>
        <w:t>а.</w:t>
      </w:r>
      <w:r>
        <w:rPr>
          <w:rStyle w:val="CharStyle5"/>
          <w:lang w:val="en-US" w:eastAsia="en-US"/>
        </w:rPr>
        <w:t>fas.gov.ru</w:t>
      </w:r>
    </w:p>
    <w:p>
      <w:pPr>
        <w:widowControl w:val="0"/>
        <w:spacing w:before="3" w:after="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0" w:right="0" w:bottom="105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200"/>
        <w:jc w:val="left"/>
        <w:rPr>
          <w:sz w:val="22"/>
          <w:szCs w:val="22"/>
        </w:rPr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342900</wp:posOffset>
                </wp:positionV>
                <wp:extent cx="2538730" cy="19494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38730" cy="1949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На №от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5.550000000000004pt;margin-top:27.pt;width:199.90000000000001pt;height:15.35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На №от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3"/>
          <w:color w:val="3E338F"/>
          <w:sz w:val="22"/>
          <w:szCs w:val="22"/>
        </w:rPr>
        <w:t>!^.Ж?й^^^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800" w:right="0" w:firstLine="0"/>
        <w:jc w:val="both"/>
      </w:pPr>
      <w:r>
        <w:rPr>
          <w:rStyle w:val="CharStyle9"/>
        </w:rPr>
        <w:t>Заказчик: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6060" w:right="0" w:firstLine="0"/>
        <w:jc w:val="left"/>
      </w:pPr>
      <w:r>
        <w:rPr>
          <w:rStyle w:val="CharStyle9"/>
        </w:rPr>
        <w:t>ГАУЗ «РКБ М3 РТ»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060" w:right="0" w:firstLine="0"/>
        <w:jc w:val="left"/>
      </w:pPr>
      <w:r>
        <w:rPr>
          <w:rStyle w:val="CharStyle9"/>
        </w:rPr>
        <w:t>Заявитель: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6060" w:right="0" w:firstLine="0"/>
        <w:jc w:val="left"/>
      </w:pPr>
      <w:r>
        <w:rPr>
          <w:rStyle w:val="CharStyle9"/>
        </w:rPr>
        <w:t>ООО «КОНСУНГ РУС»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9"/>
          <w:b/>
          <w:bCs/>
        </w:rPr>
        <w:t>Решение по делу № 016/06/51-588/2026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9038" w:val="left"/>
        </w:tabs>
        <w:bidi w:val="0"/>
        <w:spacing w:before="0" w:after="320" w:line="240" w:lineRule="auto"/>
        <w:ind w:left="0" w:right="0" w:firstLine="0"/>
        <w:jc w:val="both"/>
      </w:pPr>
      <w:r>
        <w:rPr>
          <w:rStyle w:val="CharStyle9"/>
        </w:rPr>
        <w:t>04 мая 2026 года</w:t>
        <w:tab/>
        <w:t>г. Казань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6047" w:val="left"/>
        </w:tabs>
        <w:bidi w:val="0"/>
        <w:spacing w:before="0" w:after="0" w:line="240" w:lineRule="auto"/>
        <w:ind w:left="0" w:right="0" w:firstLine="820"/>
        <w:jc w:val="left"/>
      </w:pPr>
      <w:r>
        <w:rPr>
          <w:rStyle w:val="CharStyle9"/>
        </w:rPr>
        <w:t>Зам. Председателя Комиссии:</w:t>
        <w:tab/>
        <w:t>Кучеевой А.С. - начальника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060" w:right="0" w:firstLine="0"/>
        <w:jc w:val="left"/>
      </w:pPr>
      <w:r>
        <w:rPr>
          <w:rStyle w:val="CharStyle9"/>
        </w:rPr>
        <w:t>отдела,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6047" w:val="left"/>
        </w:tabs>
        <w:bidi w:val="0"/>
        <w:spacing w:before="0" w:after="0" w:line="240" w:lineRule="auto"/>
        <w:ind w:left="0" w:right="0" w:firstLine="820"/>
        <w:jc w:val="left"/>
      </w:pPr>
      <w:r>
        <w:rPr>
          <w:rStyle w:val="CharStyle9"/>
        </w:rPr>
        <w:t>Членов Комиссии:</w:t>
        <w:tab/>
        <w:t>Никитиной И.Г. - ведущего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060" w:right="0" w:firstLine="20"/>
        <w:jc w:val="left"/>
      </w:pPr>
      <w:r>
        <w:rPr>
          <w:rStyle w:val="CharStyle9"/>
        </w:rPr>
        <w:t>специалиста-эксперта,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060" w:right="0" w:firstLine="20"/>
        <w:jc w:val="left"/>
      </w:pPr>
      <w:r>
        <w:rPr>
          <w:rStyle w:val="CharStyle9"/>
        </w:rPr>
        <w:t>Клавдиевой М.Р. - специалиста 1 разряда,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00"/>
        <w:jc w:val="both"/>
      </w:pPr>
      <w:r>
        <w:rPr>
          <w:rStyle w:val="CharStyle9"/>
        </w:rPr>
        <w:t>в присутствии представителей заказчика ГАУЗ «РКБ М3 РТ» - Шариповой Л.М. (по доверенности), Рябцевой О.А. (по доверенности), представителя заявителя ООО «КОНСУНГ РУС» - Дергачевой А.О. (по доверенности), рассмотрев посредством видеоконференции жалобу заявителя ООО «КОНСУНГ РУС» (вх. № 3918/ж от 27.04.2026г., ЕИС от 24.04.2026г.) на действия заказчика - ГАУЗ «РКБ М3 РТ» при проведении закупки №0711200011026000232 на предмет: «Поставка расходных материалов»,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9"/>
        </w:rPr>
        <w:t>УСТАНОВИЛА: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153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>Извещение о проведении электронного аукциона №0711200011026000232 на предмет:</w:t>
        <w:tab/>
        <w:t>«Поставка расходных материалов» размещено на сайте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0" w:right="646" w:bottom="1050" w:left="991" w:header="0" w:footer="3" w:gutter="0"/>
          <w:cols w:space="720"/>
          <w:noEndnote/>
          <w:rtlGutter w:val="0"/>
          <w:docGrid w:linePitch="360"/>
        </w:sectPr>
      </w:pPr>
      <w:r>
        <w:fldChar w:fldCharType="begin"/>
      </w:r>
      <w:r>
        <w:rPr/>
        <w:instrText> HYPERLINK "https://www.astgoz.ru/" </w:instrText>
      </w:r>
      <w:r>
        <w:fldChar w:fldCharType="separate"/>
      </w:r>
      <w:r>
        <w:rPr>
          <w:rStyle w:val="CharStyle9"/>
          <w:lang w:val="en-US" w:eastAsia="en-US"/>
        </w:rPr>
        <w:t>https://www.astgoz.ru/</w:t>
      </w:r>
      <w:r>
        <w:fldChar w:fldCharType="end"/>
      </w:r>
      <w:r>
        <w:rPr>
          <w:rStyle w:val="CharStyle9"/>
          <w:lang w:val="en-US" w:eastAsia="en-US"/>
        </w:rPr>
        <w:t xml:space="preserve"> </w:t>
      </w:r>
      <w:r>
        <w:rPr>
          <w:rStyle w:val="CharStyle9"/>
        </w:rPr>
        <w:t>03,04.2026г.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>Суть жалобы: по мнению заявителя, при проведении закупки нарушены требования действующего законодательства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  <w:b/>
          <w:bCs/>
        </w:rPr>
        <w:t>Комиссия Татарстанского УФАС России по результатам рассмотрения доводов заявителя, позиции заказчика и изучения документации аукциона приходит к следующим выводам.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  <w:i/>
          <w:iCs/>
        </w:rPr>
        <w:t>Относительно довода заявителя о неправомерном отказе заказчика от заключения контракта.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>По смыслу ч.ч. 1, 2 и 5 ст. 24 Закона о контрактной системе электронный аукцион является конкурентным способом определения поставщиков (подрядчиков, исполнителей), победителем которого признается участник закупки, заявка на участие в закупке которого соответствует требованиям, установленным в извещении об осуществлении закупки, документации о закупке (в случае, если настоящим Федеральным законом предусмотрена документация о закупке), и который предложил по результатам проведения процедуры подачи предложений о цене контракта или о сумме цен единиц товара, работы, услуги (в случае, предусмотренном ч. 24 ст. 22 настоящего Федерального закона) наиболее низкую цену контракта, наименьшую сумму цен таких единиц либо в случае, предусмотренном п. 9 ч. 3 ст. 49 настоящего Федерального закона, - наиболее высокий размер платы, подлежащей внесению участником закупки за заключение контракта.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>В силу пп. «а» п. 1 ч. 5 ст. 49 Закона о контрактной системе,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закупки,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 4 ч.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п.п. 1 - 8 ч. 12 ст. 48 настоящего Федерального закона.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>Пунктами 1 - 9 ч. 12 ст. 48 Закона о контрактной системе установлено, что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>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п. п. 2 и 3 ч. 6 ст.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5" w:val="left"/>
        </w:tabs>
        <w:bidi w:val="0"/>
        <w:spacing w:before="0" w:after="0" w:line="240" w:lineRule="auto"/>
        <w:ind w:left="0" w:right="0" w:firstLine="700"/>
        <w:jc w:val="both"/>
        <w:sectPr>
          <w:headerReference w:type="default" r:id="rId7"/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1386" w:right="608" w:bottom="1223" w:left="972" w:header="0" w:footer="3" w:gutter="0"/>
          <w:cols w:space="720"/>
          <w:noEndnote/>
          <w:rtlGutter w:val="0"/>
          <w:docGrid w:linePitch="360"/>
        </w:sectPr>
      </w:pPr>
      <w:r>
        <w:rPr>
          <w:rStyle w:val="CharStyle9"/>
        </w:rPr>
        <w:t>непредставления информации и документов, предусмотренных п.п. 2 и 3 ч. 6 ст.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>несоответствия участника закупки требованиям, установленным в извещении об осуществлении закупки в соответствии с ч. 1 ст. 31 настоящего Федерального закона, требованиям, установленным в извещении об осуществлении закупки в соответствии с ч.ч. 1.1, 2 и 2.1 (при наличии таких требований) ст. 31 настоящего Федерального закона;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>предусмотренных пп. «а» п. 1 (за исключением случая, предусмотренного п. 5 настоящей части), пп. «а» п. 2 ч. 4, пп. «а» п. 1 (за исключением случая, предусмотренного п. 5 настоящей части), п. 2 ч. 5 ст. 14 настоящего Федерального закона;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>непредставления информации и документов, предусмотренных п. 5 ч. 1 ст. 43 настоящего Федерального закона, если такие информация и документы определены в соответствии с п. 2 ч. 2 ст. 14 настоящего Федерального закона (в случае установления в соответствии с пп. «а» п. 1 ч. 2 ст. 14 настоящего Федерального закона в извещении об осуществлении закупки запрета закупок товара, происходящего из иностранного государства);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 xml:space="preserve">выявления отнесения участника закупки к организациям, предусмотренным п. 4 ст. 2 Федерального закона от 04.06.2018 </w:t>
      </w:r>
      <w:r>
        <w:rPr>
          <w:rStyle w:val="CharStyle9"/>
          <w:lang w:val="en-US" w:eastAsia="en-US"/>
        </w:rPr>
        <w:t xml:space="preserve">N </w:t>
      </w:r>
      <w:r>
        <w:rPr>
          <w:rStyle w:val="CharStyle9"/>
        </w:rPr>
        <w:t>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5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>предусмотренных ч. 6 ст. 45 настоящего Федерального закона;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>выявления недостоверной информации, содержащейся в заявке на участие в закупке;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>заявки на участие в закупке не допускается при проведении электронной процедуры, указания информации о предложении участника закупки, предусмотренном п. 3 или п. 4 ч. 1 ст. 43 настоящего Федерального закона.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>В силу п. 2 ч. 5 ст. 49 Закона о контрактной системе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п. п. 1, 2, 4 - 7 ч. 17 ст. 48 настоящего 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>Согласно Протоколу подведения итогов определения поставщика (подрядчика, исполнителя) от 15.04.2026 №ИЭА1, победителем закупки признано ООО «КОНСУНГ РУС».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>Вместе с тем, Протоколом об отказе от заключения контракта от 23.04.2026 №ПОК20_1 Заказчик отказался от заключения государственного контракта с победителем электронного аукциона ООО «КОНСУНГ РУС» на основании ч. 9 ст. 31 Закона о контрактной системе: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headerReference w:type="default" r:id="rId9"/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191" w:right="604" w:bottom="1191" w:left="994" w:header="0" w:footer="763" w:gutter="0"/>
          <w:cols w:space="720"/>
          <w:noEndnote/>
          <w:rtlGutter w:val="0"/>
          <w:docGrid w:linePitch="360"/>
        </w:sectPr>
      </w:pPr>
      <w:r>
        <w:rPr>
          <w:rStyle w:val="CharStyle9"/>
        </w:rPr>
        <w:t xml:space="preserve">«Предлагаемое к поставке медицинское изделие Тест-полоски </w:t>
      </w:r>
      <w:r>
        <w:rPr>
          <w:rStyle w:val="CharStyle9"/>
          <w:lang w:val="en-US" w:eastAsia="en-US"/>
        </w:rPr>
        <w:t xml:space="preserve">BS-602 </w:t>
      </w:r>
      <w:r>
        <w:rPr>
          <w:rStyle w:val="CharStyle9"/>
        </w:rPr>
        <w:t xml:space="preserve">для определения уровня глюкозы в крови производства </w:t>
      </w:r>
      <w:r>
        <w:rPr>
          <w:rStyle w:val="CharStyle9"/>
          <w:lang w:val="en-US" w:eastAsia="en-US"/>
        </w:rPr>
        <w:t xml:space="preserve">Sejoy Biomedical </w:t>
      </w:r>
      <w:r>
        <w:rPr>
          <w:rStyle w:val="CharStyle9"/>
        </w:rPr>
        <w:t>Со.,</w:t>
      </w:r>
      <w:r>
        <w:rPr>
          <w:rStyle w:val="CharStyle9"/>
          <w:lang w:val="en-US" w:eastAsia="en-US"/>
        </w:rPr>
        <w:t>Ltd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 xml:space="preserve">предназначено для использования с глюкометром </w:t>
      </w:r>
      <w:r>
        <w:rPr>
          <w:rStyle w:val="CharStyle9"/>
          <w:lang w:val="en-US" w:eastAsia="en-US"/>
        </w:rPr>
        <w:t xml:space="preserve">BG-710b/BG-710 </w:t>
      </w:r>
      <w:r>
        <w:rPr>
          <w:rStyle w:val="CharStyle9"/>
        </w:rPr>
        <w:t>одним пациентом и не подлежит применению одновременно у нескольких пациентов (в т.ч. тяжелобольных и новорожденных), оно не может использоваться в условиях стационара ГАУЗ «РКБ М3 РТ»».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Согласно доводу жалобы заявителя, отказ от заключения контракта произведен при отсутствии законных оснований, предусмотренных ч. 9 ст. 31 Федерального закона № 44-ФЗ. Понятие «многопользовательский глюкометр» или «глюкометр для профессионального применения» отсутствует в перечне требований к участникам закупки, установленных ст. 31 Закона № 44-ФЗ. Заказчик в извещении о закупке и аукционной документации не установил требование о поставке именно «многопользовательских» глюкометров.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Как указывает заявитель, предметом закупки являлись расходные материалы (тест-полоски), а не глюкометры как самостоятельные медицинские изделия. При этом законодательство о контрактной системе прямо предусматривает, что предметом закупки остаются тест-полоски, а глюкометры передаются безвозмездно и выступают лишь в качестве обеспечивающего устройства для использования расходных материалов. Заказчик не вправе предъявлять к глюкометрам требования, не установленные в извещении о закупке, и тем более отказываться от заключения контракта по мотиву несоответствия таких глюкометров критериям, которые не были указаны в аукционной документации.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Заявитель отметил, что содержащееся в инструкции предупреждение об инфекционном риске не является запретом на использование глюкометра в отношении разных пациентов, а представляет собой стандартное требование безопасности, которое полностью соблюдается медицинским персоналом. Предупреждение в инструкции о том, что прибор и устройство для прокалывания «не должны использоваться более чем одним человеком из-за риска инфекции», представляет собой стандартное предупреждение, включаемое в инструкции всех портативных глюкометров, в том числе тех, которые официально позиционируются производителями как «многопользовательские» (госпитальные). Данное предупреждение не накладывает юридического запрета на эксплуатацию прибора в ЛПУ, а лишь обязывает медицинский персонал соблюдать санитарно</w:t>
        <w:softHyphen/>
        <w:t>эпидемиологические правила.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Ссылка Заказчика на клинические рекомендации является несостоятельной в рамках Закона № 44-ФЗ. Клинические рекомендации «Сахарный диабет 1 типа у взрослых» и «Сахарный диабет 2 типа у взрослых» носят рекомендательный характер и не являются нормативными правовыми актами, обязательными для применения в сфере закупок.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290" w:right="570" w:bottom="1290" w:left="948" w:header="0" w:footer="862" w:gutter="0"/>
          <w:cols w:space="720"/>
          <w:noEndnote/>
          <w:rtlGutter w:val="0"/>
          <w:docGrid w:linePitch="360"/>
        </w:sectPr>
      </w:pPr>
      <w:r>
        <w:rPr>
          <w:rStyle w:val="CharStyle9"/>
        </w:rPr>
        <w:t>Как пояснил Заказчик, в рамках рассматриваемой закупки фактическими потребностями Заказчика являются тест-полоски для определения глюкозы в крови, подлежащие применению одновременно у нескольких пациентов с использованием многопользовательских госпитальных глюкометров в условиях стационара. При этом тест-полоски не подлежат отдельному самостоятельному применению и используются в практике медицинских учреждений только совместно с глюкометром. Предлагаемое заявителем к поставке медицинское изделие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>предназначено для использования с индивидуальным глюкометром одним пациентом и не подлежит применению одновременно у нескольких пациентов (не является многопользовательским), что также следует из анализа инструкции по эксплуатации к данному медицинскому изделию. Как следствие, указанное медицинское изделие объективно не может использоваться в условиях стационара и не отвечает фактическим потребностям Заказчика.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>Помимо соблюдения требований Постановления № 10, Заказчик руководствовался собственными фактическими потребностями с учетом специфики своей деятельности, а также иными обязательными для применения требованиями и, в частности, положениями Федерального закона «Об основах охраны здоровья граждан в Российской Федерации» от 21.11.2011 № 323-ФЗ, а также требованиями клинических рекомендаций.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>На момент признания заявки участника закупки соответствующей требованиям описания объекта закупки Заказчик предполагал, что предлагаемые участником закупки к безвозмездной передаче глюкометры с целью их дальнейшего использования с тест-полосками являются по своим характеристикам многопользовательскими. Впоследствии Заказчику стало известно, что данные анализаторы не являются многопользовательскими, в связи с чем Заказчик обоснованно пришел к выводу, что поставка тест-полосок с возможностью безвозмездной передачи индивидуальных, не многопользовательских, анализаторов не соответствует ни фактическим потребностям Заказчика, ни положениям Закона № 323-ФЗ, а также требованиям клинических рекомендаций.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>В рассматриваемой ситуации при осуществлении закупки медицинское учреждение в целях оказания качественной медицинской помощи руководствуется п. 3.2 действующих и обязательных к применению Заказчиком клинических рекомендаций «Сахарный диабет 1 типа у взрослых», «Сахарный диабет 2 типа у взрослых», где указано следующее: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>«в условиях лечебно-профилактических учреждений, помимо лабораторных анализаторов, необходимо использовать глюкометры для профессионального применения (многопользовательские, госпитальные).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9"/>
        </w:rPr>
        <w:t>Комментарии: Многопользовательские глюкометры обладают более высокой точностью измерений по сравнению с индивидуальными глюкометрами и выдерживают многократные циклы дезинфекции в соответствии с хорошо валидированными методами, представленными производителем. Многопользовательский глюкометр необходимо дезинфицировать после каждого измерения уровня глюкозы крови у каждого пациента средствами, обладающими фунгицидной, антибактериальной и противовирусной активностью, и не влияющими на функциональные свойства глюкометра».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>Комиссия Татарстанского УФАС России по результатам рассмотрения доводов заявителя, позиции заказчика, изучения документов приходит к следующим выводам.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169" w:right="588" w:bottom="1169" w:left="1002" w:header="0" w:footer="741" w:gutter="0"/>
          <w:cols w:space="720"/>
          <w:noEndnote/>
          <w:rtlGutter w:val="0"/>
          <w:docGrid w:linePitch="360"/>
        </w:sectPr>
      </w:pPr>
      <w:r>
        <w:rPr>
          <w:rStyle w:val="CharStyle9"/>
        </w:rPr>
        <w:t>В силу ч. 9 ст. 31 Закона о контрактной системе комиссия по осуществлению закупок обязана отстранить участника закупки от участия в определении поставщика (подрядчика, исполнителя) в любой момент не позднее даты подведения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 xml:space="preserve">итогов определения поставщика (подрядчика, исполнителя), если обнаружит, что участник закупки не соответствует требованиям, установленным в соответствии с частью 1, а также частями 1.1, 2 и 2.1 (в случае установления таких требований) настоящей статьи, и (или) предоставил недостоверную информацию о своем соответствии таким требованиям. Заказчик обязан отказаться от заключения контракта с участником закупки, если после подведения итогов определения поставщика (подрядчика, исполнителя) и до заключения в соответствии с настоящим Федеральным законом контракта обнаружит, что участник закупки не соответствует требованиям, установленным в соответствии с частью 1, а также частями 1.1, 2 и 2.1 (в случае установления таких требований) настоящей статьи, и (или) </w:t>
      </w:r>
      <w:r>
        <w:rPr>
          <w:rStyle w:val="CharStyle9"/>
          <w:u w:val="single"/>
        </w:rPr>
        <w:t>предоставил</w:t>
      </w:r>
      <w:r>
        <w:rPr>
          <w:rStyle w:val="CharStyle9"/>
        </w:rPr>
        <w:t xml:space="preserve"> недостоверную информацию о своем соответствии таким требованиям либо </w:t>
      </w:r>
      <w:r>
        <w:rPr>
          <w:rStyle w:val="CharStyle9"/>
          <w:u w:val="single"/>
        </w:rPr>
        <w:t>недостоверную информацию и (или) документы, содержащиеся в заявке на участие в закупке</w:t>
      </w:r>
      <w:r>
        <w:rPr>
          <w:rStyle w:val="CharStyle9"/>
        </w:rPr>
        <w:t>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 xml:space="preserve">Как установлено Комиссией, Заявителем были предложены к поставке Тест- полоски </w:t>
      </w:r>
      <w:r>
        <w:rPr>
          <w:rStyle w:val="CharStyle9"/>
          <w:lang w:val="en-US" w:eastAsia="en-US"/>
        </w:rPr>
        <w:t xml:space="preserve">BS-602 </w:t>
      </w:r>
      <w:r>
        <w:rPr>
          <w:rStyle w:val="CharStyle9"/>
        </w:rPr>
        <w:t xml:space="preserve">для определения уровня глюкозы в крови, производства </w:t>
      </w:r>
      <w:r>
        <w:rPr>
          <w:rStyle w:val="CharStyle9"/>
          <w:lang w:val="en-US" w:eastAsia="en-US"/>
        </w:rPr>
        <w:t xml:space="preserve">Sejoy Biomedical </w:t>
      </w:r>
      <w:r>
        <w:rPr>
          <w:rStyle w:val="CharStyle9"/>
        </w:rPr>
        <w:t xml:space="preserve">Со., </w:t>
      </w:r>
      <w:r>
        <w:rPr>
          <w:rStyle w:val="CharStyle9"/>
          <w:lang w:val="en-US" w:eastAsia="en-US"/>
        </w:rPr>
        <w:t>Ltd.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 xml:space="preserve">Наряду с этим, разделом «Важная информация о безопасности» Инструкции по эксплуатации Системы мониторинга уровня глюкозы в крови (глюкометр) портативной </w:t>
      </w:r>
      <w:r>
        <w:rPr>
          <w:rStyle w:val="CharStyle9"/>
          <w:lang w:val="en-US" w:eastAsia="en-US"/>
        </w:rPr>
        <w:t xml:space="preserve">BG-710, BG-710b, </w:t>
      </w:r>
      <w:r>
        <w:rPr>
          <w:rStyle w:val="CharStyle9"/>
        </w:rPr>
        <w:t xml:space="preserve">производства </w:t>
      </w:r>
      <w:r>
        <w:rPr>
          <w:rStyle w:val="CharStyle9"/>
          <w:lang w:val="en-US" w:eastAsia="en-US"/>
        </w:rPr>
        <w:t xml:space="preserve">Sejoy Biomedical </w:t>
      </w:r>
      <w:r>
        <w:rPr>
          <w:rStyle w:val="CharStyle9"/>
        </w:rPr>
        <w:t xml:space="preserve">Со., </w:t>
      </w:r>
      <w:r>
        <w:rPr>
          <w:rStyle w:val="CharStyle9"/>
          <w:lang w:val="en-US" w:eastAsia="en-US"/>
        </w:rPr>
        <w:t xml:space="preserve">Ltd, </w:t>
      </w:r>
      <w:r>
        <w:rPr>
          <w:rStyle w:val="CharStyle9"/>
        </w:rPr>
        <w:t>а также Разделом 8 «Проверка уровня глюкозы в крови» установлены в том числе следующие условия: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1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>Глюкометр и ручка для прокалывания никогда не должны использоваться более чем одним человеком. Не делитесь глюкометром и ручкой для прокалывания ни с кем, включая членов семьи, из-за риска заражения кровеносными патогенами.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1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>Очистка и дезинфекция глюкометра и ручки для прокалывания уничтожают большинство, но не обязательно все, кровеносные патогены.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>Приведенная выше трактовка однозначно указывает на недопустимость многопользовательского режима эксплуатации аппарата, в том числе используемых расходных материалов, даже при условии его дезинфекции.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>Вместе с тем, согласно Описанию объекта закупки, Заказчиком установлена такая характеристика, как «Назначение: Для экспресс-анализатора (глюкометра) Акку-Чек Информ II».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 xml:space="preserve">При изучении технической документации на указанный глюкометр Комиссией установлено, что она не содержит положений об исключительно индивидуальном использовании прибора. С учетом данного обстоятельства глюкометр производства </w:t>
      </w:r>
      <w:r>
        <w:rPr>
          <w:rStyle w:val="CharStyle9"/>
          <w:lang w:val="en-US" w:eastAsia="en-US"/>
        </w:rPr>
        <w:t xml:space="preserve">Sejoy Biomedical </w:t>
      </w:r>
      <w:r>
        <w:rPr>
          <w:rStyle w:val="CharStyle9"/>
        </w:rPr>
        <w:t xml:space="preserve">Со., </w:t>
      </w:r>
      <w:r>
        <w:rPr>
          <w:rStyle w:val="CharStyle9"/>
          <w:lang w:val="en-US" w:eastAsia="en-US"/>
        </w:rPr>
        <w:t xml:space="preserve">Ltd </w:t>
      </w:r>
      <w:r>
        <w:rPr>
          <w:rStyle w:val="CharStyle9"/>
        </w:rPr>
        <w:t>не является функциональным аналогом оборудования Акку-Чек Информ II.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261" w:right="560" w:bottom="1261" w:left="996" w:header="0" w:footer="833" w:gutter="0"/>
          <w:cols w:space="720"/>
          <w:noEndnote/>
          <w:rtlGutter w:val="0"/>
          <w:docGrid w:linePitch="360"/>
        </w:sectPr>
      </w:pPr>
      <w:r>
        <w:rPr>
          <w:rStyle w:val="CharStyle9"/>
        </w:rPr>
        <w:t xml:space="preserve">Более того, довод заявителя о возможности дезинфекции глюкометра для его последующего использования другими пациентами не может быть принят комиссией. Согласно эксплуатационной документации на модели </w:t>
      </w:r>
      <w:r>
        <w:rPr>
          <w:rStyle w:val="CharStyle9"/>
          <w:lang w:val="en-US" w:eastAsia="en-US"/>
        </w:rPr>
        <w:t xml:space="preserve">BG-710 </w:t>
      </w:r>
      <w:r>
        <w:rPr>
          <w:rStyle w:val="CharStyle9"/>
        </w:rPr>
        <w:t xml:space="preserve">и </w:t>
      </w:r>
      <w:r>
        <w:rPr>
          <w:rStyle w:val="CharStyle9"/>
          <w:lang w:val="en-US" w:eastAsia="en-US"/>
        </w:rPr>
        <w:t xml:space="preserve">BG-710b </w:t>
      </w:r>
      <w:r>
        <w:rPr>
          <w:rStyle w:val="CharStyle9"/>
        </w:rPr>
        <w:t xml:space="preserve">(производства </w:t>
      </w:r>
      <w:r>
        <w:rPr>
          <w:rStyle w:val="CharStyle9"/>
          <w:lang w:val="en-US" w:eastAsia="en-US"/>
        </w:rPr>
        <w:t xml:space="preserve">Sejoy Biomedical </w:t>
      </w:r>
      <w:r>
        <w:rPr>
          <w:rStyle w:val="CharStyle9"/>
        </w:rPr>
        <w:t xml:space="preserve">Со., </w:t>
      </w:r>
      <w:r>
        <w:rPr>
          <w:rStyle w:val="CharStyle9"/>
          <w:lang w:val="en-US" w:eastAsia="en-US"/>
        </w:rPr>
        <w:t xml:space="preserve">Ltd), </w:t>
      </w:r>
      <w:r>
        <w:rPr>
          <w:rStyle w:val="CharStyle9"/>
        </w:rPr>
        <w:t>процедура очистки не гарантирует полного уничтожения кровеносных патогенов. Таким образом, безопасность многопользовательского режима использования прибора документально не подтверждена.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>Также согласно Клиническим рекомендациям «Сахарный диабет 1 типа у взрослых», одобренным Министерством здравоохранения РФ, для самоконтроля уровня глюкозы крови рекомендуется применять глюкометры, предназначенные для индивидуального использования. В настоящее время существуют глюкометры с настройкой индивидуального целевого диапазона гликемии, а также глюкометры с функцией беспроводной передачи данных об уровне глюкозы медицинским специалистам, родственникам или в установленное на смартфон пациента специальное приложение (с внесением дополнительной информации о приемах пищи и дозах сахароснижающих препаратов) для использования при дистанционном наблюдении. Контроль уровня глюкозы крови может проводиться с применением методики ДНСД с использованием СИС ДН или модулей медицинских информационных систем, предназначенные для автоматической интерпретации данных.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>В условиях лечебно-профилактических учреждений, помимо лабораторных анализаторов, необходимо использовать глюкометры для профессионального применения (многопользовательские, госпитальные).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>В силу пункта 2 статьи 4 Федеральный закон от 21.11.2011 № 323-ФЗ «Об основах охраны здоровья граждан в Российской Федерации» (далее - Закон об основах охраны здоровья граждан) одним из основных принципов охраны здоровья является приоритет интересов пациента при оказании медицинской помощи.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>Частью 2 статьи 98 Закона об основах охраны здоровья граждан установлена ответственность медицинских работников в соответствии с законодательством РФ за нарушение прав в сфере охраны здоровья, причинение вреда жизни и (или) здоровью при оказании гражданам медицинской помощи.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>При проведении закупок для нужд специализированного медицинского учреждения определяющим является достижение при лечении пациентов максимального исключения любых нежелательных реакций и последствий в рамках оказания медицинской помощи, а не удовлетворение коммерческого интереса предпринимателей.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>Следовательно, при закупке расходных материалов заказчик должен исходить из фактических клинических потребностей. Это исключает возможность приобретения товаров, технически несовместимых и отличающихся по своему использованию с имеющимся у заказчика медицинским оборудованием.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>На основании изложенного Комиссия приходит к выводу, что Заказчик действовал правомерно, отказывая Заявителю в заключении контракта на основании части 9 статьи 31 Закона о контрактной системе, ввиду предоставления ООО «КОНСУНГ РУС» недостоверной информации в составе заявки.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>Довод жалобы признан необоснованным.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00"/>
        <w:jc w:val="both"/>
      </w:pPr>
      <w:r>
        <w:rPr>
          <w:rStyle w:val="CharStyle9"/>
        </w:rPr>
        <w:t>На основании вышеизложенного, руководствуясь пунктом 2 части 22 статьи 99, частью 8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1900" w:h="16840"/>
          <w:pgMar w:top="1185" w:right="596" w:bottom="1185" w:left="993" w:header="0" w:footer="757" w:gutter="0"/>
          <w:cols w:space="720"/>
          <w:noEndnote/>
          <w:rtlGutter w:val="0"/>
          <w:docGrid w:linePitch="360"/>
        </w:sectPr>
      </w:pPr>
      <w:r>
        <w:rPr>
          <w:rStyle w:val="CharStyle9"/>
        </w:rPr>
        <w:t>РЕШИЛА:</w:t>
      </w:r>
    </w:p>
    <w:p>
      <w:pPr>
        <w:widowControl w:val="0"/>
        <w:spacing w:line="1" w:lineRule="exact"/>
      </w:pPr>
      <w:r>
        <w:drawing>
          <wp:anchor distT="0" distB="0" distL="114300" distR="114300" simplePos="0" relativeHeight="125829383" behindDoc="0" locked="0" layoutInCell="1" allowOverlap="1">
            <wp:simplePos x="0" y="0"/>
            <wp:positionH relativeFrom="page">
              <wp:posOffset>3759835</wp:posOffset>
            </wp:positionH>
            <wp:positionV relativeFrom="paragraph">
              <wp:posOffset>1051560</wp:posOffset>
            </wp:positionV>
            <wp:extent cx="1493520" cy="1694815"/>
            <wp:wrapSquare wrapText="left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493520" cy="169481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2176145" distL="1159510" distR="114935" simplePos="0" relativeHeight="125829384" behindDoc="0" locked="0" layoutInCell="1" allowOverlap="1">
                <wp:simplePos x="0" y="0"/>
                <wp:positionH relativeFrom="page">
                  <wp:posOffset>6060440</wp:posOffset>
                </wp:positionH>
                <wp:positionV relativeFrom="paragraph">
                  <wp:posOffset>1847215</wp:posOffset>
                </wp:positionV>
                <wp:extent cx="1029970" cy="219710"/>
                <wp:wrapSquare wrapText="lef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9"/>
                              </w:rPr>
                              <w:t>А.С. Кучеева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77.19999999999999pt;margin-top:145.45000000000002pt;width:81.100000000000009pt;height:17.300000000000001pt;z-index:-125829369;mso-wrap-distance-left:91.299999999999997pt;mso-wrap-distance-right:9.0500000000000007pt;mso-wrap-distance-bottom:171.34999999999999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9"/>
                        </w:rPr>
                        <w:t>А.С. Кучеева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drawing>
          <wp:anchor distT="1268095" distB="0" distL="114300" distR="1141730" simplePos="0" relativeHeight="125829386" behindDoc="0" locked="0" layoutInCell="1" allowOverlap="1">
            <wp:simplePos x="0" y="0"/>
            <wp:positionH relativeFrom="page">
              <wp:posOffset>5015230</wp:posOffset>
            </wp:positionH>
            <wp:positionV relativeFrom="paragraph">
              <wp:posOffset>3115310</wp:posOffset>
            </wp:positionV>
            <wp:extent cx="1048385" cy="1127760"/>
            <wp:wrapSquare wrapText="lef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048385" cy="1127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5932805</wp:posOffset>
                </wp:positionH>
                <wp:positionV relativeFrom="paragraph">
                  <wp:posOffset>3286125</wp:posOffset>
                </wp:positionV>
                <wp:extent cx="1143000" cy="21653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300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8"/>
                              </w:rPr>
                              <w:t>И.Г. Никитина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67.15000000000003pt;margin-top:258.75pt;width:90.pt;height:17.05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8"/>
                        </w:rPr>
                        <w:t>И.Г. Никитина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635000" distB="0" distL="114300" distR="1315085" simplePos="0" relativeHeight="125829387" behindDoc="0" locked="0" layoutInCell="1" allowOverlap="1">
            <wp:simplePos x="0" y="0"/>
            <wp:positionH relativeFrom="page">
              <wp:posOffset>5118735</wp:posOffset>
            </wp:positionH>
            <wp:positionV relativeFrom="paragraph">
              <wp:posOffset>4815840</wp:posOffset>
            </wp:positionV>
            <wp:extent cx="780415" cy="572770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780415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5892800</wp:posOffset>
                </wp:positionH>
                <wp:positionV relativeFrom="paragraph">
                  <wp:posOffset>4922520</wp:posOffset>
                </wp:positionV>
                <wp:extent cx="1207135" cy="21653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0713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8"/>
                              </w:rPr>
                              <w:t>М.Р. Клавдиева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64.pt;margin-top:387.60000000000002pt;width:95.049999999999997pt;height:17.05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8"/>
                        </w:rPr>
                        <w:t>М.Р. Клавдиева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Признать жалобу заявителя ООО «КОНСУНГ РУС» (вх. № 3918/ от 27.04.2026г., ЕИС от 24.04.2026г.) на действия заказчика - ГАУЗ «РКБ М3 РТ» при проведении закупки №0711200011026000232 на предмет: «Поставка расходных материалов» необоснованной.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0" w:right="0" w:firstLine="720"/>
        <w:jc w:val="both"/>
      </w:pPr>
      <w:r>
        <w:rPr>
          <w:rStyle w:val="CharStyle9"/>
        </w:rPr>
        <w:t>Решение Комиссии может быть обжаловано в судебном порядке в течение трех месяцев со дня его принятия.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920" w:line="240" w:lineRule="auto"/>
        <w:ind w:left="0" w:right="0" w:firstLine="0"/>
        <w:jc w:val="both"/>
      </w:pPr>
      <w:r>
        <w:rPr>
          <w:rStyle w:val="CharStyle9"/>
        </w:rPr>
        <w:t>Зам. Председателя Комиссии: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626" w:right="584" w:bottom="1040" w:left="1015" w:header="0" w:footer="612" w:gutter="0"/>
          <w:cols w:space="720"/>
          <w:noEndnote/>
          <w:rtlGutter w:val="0"/>
          <w:docGrid w:linePitch="360"/>
        </w:sectPr>
      </w:pPr>
      <w:r>
        <w:rPr>
          <w:rStyle w:val="CharStyle9"/>
        </w:rPr>
        <w:t>Члены Комиссии: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5" w:after="3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26" w:right="0" w:bottom="104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Исп.: Никитина И.Г.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0"/>
        </w:rPr>
        <w:t>Тел. 8 (499) 755 23 23 (доб. 016-404)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26" w:right="584" w:bottom="1040" w:left="1015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748030</wp:posOffset>
              </wp:positionH>
              <wp:positionV relativeFrom="page">
                <wp:posOffset>10307320</wp:posOffset>
              </wp:positionV>
              <wp:extent cx="563880" cy="11557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3880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Style w:val="CharStyle12"/>
                              <w:sz w:val="26"/>
                              <w:szCs w:val="26"/>
                            </w:rPr>
                            <w:t>248879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8.899999999999999pt;margin-top:811.60000000000002pt;width:44.399999999999999pt;height:9.09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Style w:val="CharStyle12"/>
                        <w:sz w:val="26"/>
                        <w:szCs w:val="26"/>
                      </w:rPr>
                      <w:t>248879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3863340</wp:posOffset>
              </wp:positionH>
              <wp:positionV relativeFrom="page">
                <wp:posOffset>562610</wp:posOffset>
              </wp:positionV>
              <wp:extent cx="64135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2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4.19999999999999pt;margin-top:44.300000000000004pt;width:5.0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2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3874770</wp:posOffset>
              </wp:positionH>
              <wp:positionV relativeFrom="page">
                <wp:posOffset>425450</wp:posOffset>
              </wp:positionV>
              <wp:extent cx="57785" cy="10668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2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5.10000000000002pt;margin-top:33.5pt;width:4.5499999999999998pt;height:8.4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2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2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7792CA"/>
      <w:u w:val="none"/>
    </w:rPr>
  </w:style>
  <w:style w:type="character" w:customStyle="1" w:styleId="CharStyle5">
    <w:name w:val="Body text (3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A6A93"/>
      <w:sz w:val="15"/>
      <w:szCs w:val="15"/>
      <w:u w:val="none"/>
    </w:rPr>
  </w:style>
  <w:style w:type="character" w:customStyle="1" w:styleId="CharStyle9">
    <w:name w:val="Body text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Header or footer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Picture caption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Body text (4)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">
    <w:name w:val="Body text (2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7792CA"/>
      <w:u w:val="none"/>
    </w:rPr>
  </w:style>
  <w:style w:type="paragraph" w:customStyle="1" w:styleId="Style4">
    <w:name w:val="Body text (3)"/>
    <w:basedOn w:val="Normal"/>
    <w:link w:val="CharStyle5"/>
    <w:pPr>
      <w:widowControl w:val="0"/>
      <w:shd w:val="clear" w:color="auto" w:fill="auto"/>
      <w:spacing w:line="28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A6A93"/>
      <w:sz w:val="15"/>
      <w:szCs w:val="15"/>
      <w:u w:val="none"/>
    </w:rPr>
  </w:style>
  <w:style w:type="paragraph" w:styleId="Style8">
    <w:name w:val="Body text"/>
    <w:basedOn w:val="Normal"/>
    <w:link w:val="CharStyle9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Header or footer (2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Body text (4)"/>
    <w:basedOn w:val="Normal"/>
    <w:link w:val="CharStyle2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