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24510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Воронежской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6"/>
        </w:rPr>
        <w:t>пр-кт Революции, 21, г. Воронеж, 394036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20" w:line="269" w:lineRule="auto"/>
        <w:ind w:left="0" w:right="0" w:firstLine="0"/>
        <w:jc w:val="center"/>
      </w:pPr>
      <w:r>
        <w:rPr>
          <w:rStyle w:val="CharStyle6"/>
        </w:rPr>
        <w:t>тел./факс+7 (473) 255-92-44</w:t>
        <w:br/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"mailto:to36@fas.gov.ru"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to36@fas.gov.ru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40"/>
        <w:ind w:left="0" w:right="0" w:firstLine="0"/>
        <w:jc w:val="both"/>
      </w:pPr>
      <w:r>
        <w:rPr>
          <w:rStyle w:val="CharStyle6"/>
        </w:rPr>
        <w:tab/>
        <w:t xml:space="preserve"> № 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both"/>
      </w:pPr>
      <w:r>
        <w:rPr>
          <w:rStyle w:val="CharStyle6"/>
        </w:rPr>
        <w:t xml:space="preserve">На 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Решение № 036/06/105-489/2026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"МУНИЦИПАЛЬНОЕ КАЗЕННОЕ УЧРЕЖДЕНИЕ ПАВЛОВСКОГО МУНИЦИПАЛЬНОГО РАЙОНА "МЕЖВЕДОМСТВЕННЫЙ МНОГОФУНКЦИОНАЛЬНЫЙ ЦЕНТР"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396422, Воронежская обл., Павловский р-н, г. Павловск, проспект Революции, д. 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"mailto:zakupkipavl@govvrn.ru" </w:instrText>
      </w:r>
      <w:r>
        <w:fldChar w:fldCharType="separate"/>
      </w:r>
      <w:r>
        <w:rPr>
          <w:rStyle w:val="CharStyle12"/>
          <w:lang w:val="en-US" w:eastAsia="en-US"/>
        </w:rPr>
        <w:t>zakupkipavl@govvrn.ru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771" w:bottom="1169" w:left="1130" w:header="0" w:footer="3" w:gutter="0"/>
          <w:pgNumType w:start="1"/>
          <w:cols w:num="2" w:space="720" w:equalWidth="0">
            <w:col w:w="4118" w:space="1152"/>
            <w:col w:w="4728"/>
          </w:cols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ОБЩЕСТВО С ОГРАНИЧЕННОЙ ОТВЕТСТВЕННОСТЬЮ "ЗА ДОСТОЙНУЮ ЖИЗНЬ" 107023, Г.МОСКВА, вн.тер.г. МУНИЦИПАЛЬНЫЙ ОКРУГ СОКОЛИНАЯ ГОРА, ПЕР БАРАБАННЫЙ, Д. 3, ПОМЕЩ. 6/4 </w:t>
      </w:r>
      <w:r>
        <w:fldChar w:fldCharType="begin"/>
      </w:r>
      <w:r>
        <w:rPr/>
        <w:instrText> HYPERLINK "mailto:zakaz@ooozdj.ru" </w:instrText>
      </w:r>
      <w:r>
        <w:fldChar w:fldCharType="separate"/>
      </w:r>
      <w:r>
        <w:rPr>
          <w:rStyle w:val="CharStyle12"/>
          <w:lang w:val="en-US" w:eastAsia="en-US"/>
        </w:rPr>
        <w:t>zakaz@ooozdj.ru</w:t>
      </w:r>
      <w:r>
        <w:fldChar w:fldCharType="end"/>
      </w:r>
    </w:p>
    <w:p>
      <w:pPr>
        <w:widowControl w:val="0"/>
        <w:spacing w:line="122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3" w:right="0" w:bottom="117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2"/>
        </w:rPr>
        <w:t>Муниципальное казенное учреждение культура Павловского муниципального района "Централизованная клубная система"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5320" w:right="0" w:firstLine="0"/>
        <w:jc w:val="left"/>
      </w:pPr>
      <w:r>
        <w:rPr>
          <w:rStyle w:val="CharStyle12"/>
        </w:rPr>
        <w:t xml:space="preserve">396420, Воронежская обл., Павловский р-н, г. Павловск, мкр. Северный, д. 22 </w:t>
      </w:r>
      <w:r>
        <w:rPr>
          <w:rStyle w:val="CharStyle12"/>
          <w:lang w:val="en-US" w:eastAsia="en-US"/>
        </w:rPr>
        <w:t>mega.sovremennik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</w:rPr>
        <w:t>Р Е Ш Е Н И 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</w:rPr>
        <w:t>по результатам рассмотрения жалобы общества с ограниченной ответственностью</w:t>
        <w:br/>
        <w:t>«За достойную жизнь» на действия Муниципального казенного учреждения</w:t>
        <w:br/>
        <w:t>Павловского муниципального района «Централизованная клубная система» при</w:t>
        <w:br/>
        <w:t>проведении закупки на поставку звукового оборудования для обеспечения нужд</w:t>
        <w:br/>
        <w:t>Покровского СДК – структурного подразделения МКУК «ЦКС» (номер извещения</w:t>
        <w:br/>
        <w:t>0831600001026000079)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</w:rPr>
        <w:t>(Дело № 036/06/105-489/2026)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822960" cy="250190"/>
                <wp:wrapSquare wrapText="righ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296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04.05.2026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5.800000000000004pt;margin-top:1.pt;width:64.799999999999997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04.05.2026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2"/>
        </w:rPr>
        <w:t>г. Воронеж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</w:rPr>
        <w:t>Резолютивная часть объявлена: 04.05.2026 года.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12"/>
        </w:rPr>
        <w:t>В полном объеме решение изготовлено 07.05.2026 года.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22"/>
        </w:rPr>
        <w:t xml:space="preserve">IHIIIIIIII </w:t>
      </w:r>
      <w:r>
        <w:rPr>
          <w:rStyle w:val="CharStyle22"/>
          <w:lang w:val="ru-RU" w:eastAsia="ru-RU"/>
        </w:rPr>
        <w:t>ши ин ни ।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Управления Федеральной антимонопольной службы по Воронежской области по контролю в сфере закупок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Комиссия) в составе: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Рощупкина Ю.В.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ведущий заседания, заместитель председателя Комиссии, начальник отдела контроля закупок Воронежского УФАС России;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Башкирова А.Р.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член Комиссии, государственный инспектор отдела контроля закупок;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Горелова Ю.М.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член Комиссии, государственный инспектор отдела контроля закупок;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отсутствие представителей заявителя общества с ограниченной ответственностью «За достойную жизнь» (о месте и времени рассмотрения дела сторона уведомлена надлежащим образом, посредством ЕИС),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 участии представителей муниципального казенного учреждения культура Павловского муниципального района «Централизованная клубная система»: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Таракановой М.Н. (доверенность </w:t>
      </w:r>
      <w:r>
        <w:rPr>
          <w:rStyle w:val="CharStyle12"/>
          <w:lang w:val="en-US" w:eastAsia="en-US"/>
        </w:rPr>
        <w:t xml:space="preserve">№ 322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27.04.2026),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 участии представителей муниципального казенного учреждения Павловского муниципального района «Межведомственный многофункциональный центр»: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Коломыцевой Н.Г. (доверенность </w:t>
      </w:r>
      <w:r>
        <w:rPr>
          <w:rStyle w:val="CharStyle12"/>
          <w:lang w:val="en-US" w:eastAsia="en-US"/>
        </w:rPr>
        <w:t xml:space="preserve">№ 05-12/35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28.04.2026),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2"/>
        </w:rPr>
        <w:t xml:space="preserve">рассмотрев жалобу общества с ограниченной ответственностью «За достойную жизнь» на действия Муниципального казенного учреждения Павловского муниципального района «Централизованная клубная система» при проведении закупки на поставку звукового оборудования для обеспечения нужд Покровского СДК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структурного подразделения МКУК «ЦКС» (номер извещения </w:t>
      </w:r>
      <w:r>
        <w:rPr>
          <w:rStyle w:val="CharStyle12"/>
          <w:lang w:val="en-US" w:eastAsia="en-US"/>
        </w:rPr>
        <w:t>0831600001026000079),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</w:rPr>
        <w:t>У С Т А Н О В И Л 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Управление Федеральной антимонопольной службы по Воронежской области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Воронежское УФАС России) поступила жалоба общества с ограниченной ответственностью «За достойную жизнь»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ООО «ЗДЖ», Заявитель) на действия Муниципального казенного учреждения Павловского муниципального района «Централизованная клубная система» при проведении закупки на поставку звукового оборудования для обеспечения нужд Покровского СДК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структурного подразделения МКУК «ЦКС» (номер извещения </w:t>
      </w:r>
      <w:r>
        <w:rPr>
          <w:rStyle w:val="CharStyle12"/>
          <w:lang w:val="en-US" w:eastAsia="en-US"/>
        </w:rPr>
        <w:t>0831600001026000079).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По мнению Заявителя, действия Заказчика нарушают Федеральный закон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года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44-ФЗ «О контрактной системе в сфере закупок товаров, работ, услуг,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 что выражается в следующем: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6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12"/>
        </w:rPr>
        <w:t>Описание объекта закупки (техническое задание) содержит показатели, которым не соответствует ни один товар на рынке, что не позволяет добросовестным поставщикам подать заявку без риска последующего непринятия товара и включения в реестр недобросовестных поставщиков (ограничение конкуренции).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По каждой позиции технического задания отсутствуют как минимум два товара от разных производителей, что противоречит правовой позиции ФАС России.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Цена контракта включает монтаж оборудования, однако ни объём, ни стоимость монтажных работ не определены, что нарушает п.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42 </w:t>
      </w:r>
      <w:r>
        <w:rPr>
          <w:rStyle w:val="CharStyle12"/>
        </w:rPr>
        <w:t>Закона о контрактной системе и ограничивает конкуренцию.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0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 не задекларировал отсутствие товара российского происхождения.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 не дал разъяснений по существу запросов, поданных </w:t>
      </w:r>
      <w:r>
        <w:rPr>
          <w:rStyle w:val="CharStyle12"/>
          <w:lang w:val="en-US" w:eastAsia="en-US"/>
        </w:rPr>
        <w:t xml:space="preserve">20.04.2026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21.04.2026, </w:t>
      </w:r>
      <w:r>
        <w:rPr>
          <w:rStyle w:val="CharStyle12"/>
        </w:rPr>
        <w:t xml:space="preserve">чем нарушил ч.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42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Заказчиком, а также уполномоченным органом представлены возражения на жалобу Заявителя, в которых указали следующее: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Характеристики товара установлены Заказчиком с использованием позиций каталога товаров, работ, услуг (КТРУ): </w:t>
      </w:r>
      <w:r>
        <w:rPr>
          <w:rStyle w:val="CharStyle12"/>
          <w:lang w:val="en-US" w:eastAsia="en-US"/>
        </w:rPr>
        <w:t xml:space="preserve">«26.40.31.190-00000011» </w:t>
      </w:r>
      <w:r>
        <w:rPr>
          <w:rStyle w:val="CharStyle12"/>
        </w:rPr>
        <w:t xml:space="preserve">(акустическая система) и </w:t>
      </w:r>
      <w:r>
        <w:rPr>
          <w:rStyle w:val="CharStyle12"/>
          <w:lang w:val="en-US" w:eastAsia="en-US"/>
        </w:rPr>
        <w:t xml:space="preserve">«26.40.31.190-00000027» </w:t>
      </w:r>
      <w:r>
        <w:rPr>
          <w:rStyle w:val="CharStyle12"/>
        </w:rPr>
        <w:t xml:space="preserve">(микшерный пульт), что соответствует ч.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23 </w:t>
      </w:r>
      <w:r>
        <w:rPr>
          <w:rStyle w:val="CharStyle12"/>
        </w:rPr>
        <w:t xml:space="preserve">Закона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44-ФЗ и Постановлению Правительства РФ от </w:t>
      </w:r>
      <w:r>
        <w:rPr>
          <w:rStyle w:val="CharStyle12"/>
          <w:lang w:val="en-US" w:eastAsia="en-US"/>
        </w:rPr>
        <w:t>08.02.2017 № 145.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Применён национальный режим в соответствии со ст.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 xml:space="preserve">Закона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44-ФЗ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установлено ограничение допуска согласно Постановлению Правительства РФ от </w:t>
      </w:r>
      <w:r>
        <w:rPr>
          <w:rStyle w:val="CharStyle12"/>
          <w:lang w:val="en-US" w:eastAsia="en-US"/>
        </w:rPr>
        <w:t>23.12.2024 № 1875.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По состоянию на </w:t>
      </w:r>
      <w:r>
        <w:rPr>
          <w:rStyle w:val="CharStyle12"/>
          <w:lang w:val="en-US" w:eastAsia="en-US"/>
        </w:rPr>
        <w:t xml:space="preserve">27.04.2026 </w:t>
      </w:r>
      <w:r>
        <w:rPr>
          <w:rStyle w:val="CharStyle12"/>
        </w:rPr>
        <w:t xml:space="preserve">подано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(две) заявки, по результатам аукциона экономия составила </w:t>
      </w:r>
      <w:r>
        <w:rPr>
          <w:rStyle w:val="CharStyle12"/>
          <w:lang w:val="en-US" w:eastAsia="en-US"/>
        </w:rPr>
        <w:t xml:space="preserve">5,5%, </w:t>
      </w:r>
      <w:r>
        <w:rPr>
          <w:rStyle w:val="CharStyle12"/>
        </w:rPr>
        <w:t>что опровергает довод об ограничении конкуренции.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Изучив материалы дела, предоставленные доказательства, а также осуществив внеплановую проверку настоящей закупки, Комиссия Воронежского УФАС России пришла к следующим выводам.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 xml:space="preserve">6.04.2026 </w:t>
      </w:r>
      <w:r>
        <w:rPr>
          <w:rStyle w:val="CharStyle12"/>
        </w:rPr>
        <w:t xml:space="preserve">года в Единой информационной системе размещено Извещение о проведении электронного аукциона </w:t>
      </w:r>
      <w:r>
        <w:rPr>
          <w:rStyle w:val="CharStyle12"/>
          <w:lang w:val="en-US" w:eastAsia="en-US"/>
        </w:rPr>
        <w:t xml:space="preserve">№ 0831600001026000079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Извещение).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Начальная (максимальная) цена контракта составляет </w:t>
      </w:r>
      <w:r>
        <w:rPr>
          <w:rStyle w:val="CharStyle12"/>
          <w:lang w:val="en-US" w:eastAsia="en-US"/>
        </w:rPr>
        <w:t xml:space="preserve">316 359,54 </w:t>
      </w:r>
      <w:r>
        <w:rPr>
          <w:rStyle w:val="CharStyle12"/>
        </w:rPr>
        <w:t>руб.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Предметом рассматриваемой закупки является поставка звукового оборудования для обеспечения нужд Покровского СДК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структурного подразделения МКУК «ЦКС».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Определение поставщика (подрядчика, исполнителя) осуществляется путём проведения электронного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Закупка вне рамок национального проекта, код бюджетной классификации: </w:t>
      </w:r>
      <w:r>
        <w:rPr>
          <w:rStyle w:val="CharStyle12"/>
          <w:lang w:val="en-US" w:eastAsia="en-US"/>
        </w:rPr>
        <w:t>922080105305L4670244.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ходе анализа представленных доказательств сторон, Комиссия Воронежского УФАС России приходит к следующему.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силу части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 xml:space="preserve">Закона о контрактной системе, под электронным аукционом понимается конкурентный способ определения поставщиков, при котором победителем электронной процедуры признается участник закупки, заявка на участие в закупке которого соответствует требованиям, установленным в извещении об осуществлении закупки, документации о закупке (в случае, если настоящим Федеральным законом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частью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22 </w:t>
      </w:r>
      <w:r>
        <w:rPr>
          <w:rStyle w:val="CharStyle12"/>
        </w:rPr>
        <w:t>Закона о контрактной системе) наиболее низкую цену контракта, наименьшую сумму цен таких единиц либо в случае,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предусмотренном пунктом </w:t>
      </w:r>
      <w:r>
        <w:rPr>
          <w:rStyle w:val="CharStyle12"/>
          <w:lang w:val="en-US" w:eastAsia="en-US"/>
        </w:rPr>
        <w:t xml:space="preserve">9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49 </w:t>
      </w:r>
      <w:r>
        <w:rPr>
          <w:rStyle w:val="CharStyle12"/>
        </w:rPr>
        <w:t xml:space="preserve">Закона о контрактной системе,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наиболее высокий размер платы, подлежащей внесению участником закупки за заключение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Частью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49 </w:t>
      </w:r>
      <w:r>
        <w:rPr>
          <w:rStyle w:val="CharStyle12"/>
        </w:rPr>
        <w:t>Закона о контрактной системе установлено, что электронный аукцион начинается с размещения в единой информационной системе извещения об осуществлении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пунктом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42 </w:t>
      </w:r>
      <w:r>
        <w:rPr>
          <w:rStyle w:val="CharStyle12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числе, следующую информацию: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23 </w:t>
      </w:r>
      <w:r>
        <w:rPr>
          <w:rStyle w:val="CharStyle12"/>
        </w:rPr>
        <w:t>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86" w:right="0" w:firstLine="0"/>
        <w:jc w:val="left"/>
      </w:pPr>
      <w:r>
        <w:rPr>
          <w:rStyle w:val="CharStyle24"/>
        </w:rPr>
        <w:t>Так, согласно Извещению объектом закупки является:</w:t>
      </w:r>
    </w:p>
    <w:tbl>
      <w:tblPr>
        <w:tblOverlap w:val="never"/>
        <w:jc w:val="center"/>
        <w:tblLayout w:type="fixed"/>
      </w:tblPr>
      <w:tblGrid>
        <w:gridCol w:w="3970"/>
        <w:gridCol w:w="3235"/>
        <w:gridCol w:w="3005"/>
      </w:tblGrid>
      <w:tr>
        <w:trPr>
          <w:trHeight w:val="65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tabs>
                <w:tab w:pos="282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  <w:b/>
                <w:bCs/>
              </w:rPr>
              <w:t>Наименование</w:t>
              <w:tab/>
              <w:t>товара,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  <w:b/>
                <w:bCs/>
              </w:rPr>
              <w:t>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  <w:b/>
                <w:bCs/>
              </w:rPr>
              <w:t>Код позиции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  <w:b/>
                <w:bCs/>
              </w:rPr>
              <w:t>Тип позиции</w:t>
            </w:r>
          </w:p>
        </w:tc>
      </w:tr>
      <w:tr>
        <w:trPr>
          <w:trHeight w:val="6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>Акустическая система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 xml:space="preserve">Идентификатор: </w:t>
            </w:r>
            <w:r>
              <w:rPr>
                <w:rStyle w:val="CharStyle26"/>
                <w:lang w:val="en-US" w:eastAsia="en-US"/>
              </w:rPr>
              <w:t>211673783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  <w:lang w:val="en-US" w:eastAsia="en-US"/>
              </w:rPr>
              <w:t>26.40.31.190-00000011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>Товар</w:t>
            </w:r>
          </w:p>
        </w:tc>
      </w:tr>
      <w:tr>
        <w:trPr>
          <w:trHeight w:val="65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>Сабвуфер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 xml:space="preserve">Идентификатор: </w:t>
            </w:r>
            <w:r>
              <w:rPr>
                <w:rStyle w:val="CharStyle26"/>
                <w:lang w:val="en-US" w:eastAsia="en-US"/>
              </w:rPr>
              <w:t>211673784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  <w:lang w:val="en-US" w:eastAsia="en-US"/>
              </w:rPr>
              <w:t>26.40.43.110-00000001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>Товар</w:t>
            </w:r>
          </w:p>
        </w:tc>
      </w:tr>
      <w:tr>
        <w:trPr>
          <w:trHeight w:val="65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>Акустическая система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 xml:space="preserve">Идентификатор: </w:t>
            </w:r>
            <w:r>
              <w:rPr>
                <w:rStyle w:val="CharStyle26"/>
                <w:lang w:val="en-US" w:eastAsia="en-US"/>
              </w:rPr>
              <w:t>211673785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  <w:lang w:val="en-US" w:eastAsia="en-US"/>
              </w:rPr>
              <w:t>26.40.31.190-00000011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>Товар</w:t>
            </w:r>
          </w:p>
        </w:tc>
      </w:tr>
      <w:tr>
        <w:trPr>
          <w:trHeight w:val="66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>Микшерный пульт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 xml:space="preserve">Идентификатор: </w:t>
            </w:r>
            <w:r>
              <w:rPr>
                <w:rStyle w:val="CharStyle26"/>
                <w:lang w:val="en-US" w:eastAsia="en-US"/>
              </w:rPr>
              <w:t>211673786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  <w:lang w:val="en-US" w:eastAsia="en-US"/>
              </w:rPr>
              <w:t>26.40.31.190-00000027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>Товар</w:t>
            </w:r>
          </w:p>
        </w:tc>
      </w:tr>
    </w:tbl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42 </w:t>
      </w:r>
      <w:r>
        <w:rPr>
          <w:rStyle w:val="CharStyle12"/>
        </w:rPr>
        <w:t xml:space="preserve">Закона о контрактной системе предусмотрено, что извещение об осуществлении закупки, если иное не предусмотрено настоящим Федеральным законом, должно содержать следующий электронный документ: описание объекта закупки в соответствии со статьей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частью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Законом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Таким образом, частью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 установлен запрет на установление таких характеристик товара, которым в совокупности соответствует товар конкретного производителя.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 этом, Комиссия Воронежского УФАС России отмечает, что исполнением требований Закона о контрактной системе является наличие на рынке как минимум двух производителей, товар которых соответствует всем требованиям, обозначенным в описании объекта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своих возражениях Заказчик указал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«На момент подготовки документации на осуществление закупки, на рынке имелось несколько аналогичных товаров у различных поставщиков. А именно: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Позиция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«Акустическая система (идентификатор: </w:t>
      </w:r>
      <w:r>
        <w:rPr>
          <w:rStyle w:val="CharStyle12"/>
          <w:lang w:val="en-US" w:eastAsia="en-US"/>
        </w:rPr>
        <w:t xml:space="preserve">211673783)», </w:t>
      </w:r>
      <w:r>
        <w:rPr>
          <w:rStyle w:val="CharStyle12"/>
        </w:rPr>
        <w:t>представлена на рынке следующими торговыми наименованиями: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>ALTO TS415;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>Mackie Thump215XT;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>PreSonus Air XD 15.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Позиция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«Сабвуфер (идентификатор: </w:t>
      </w:r>
      <w:r>
        <w:rPr>
          <w:rStyle w:val="CharStyle12"/>
          <w:lang w:val="en-US" w:eastAsia="en-US"/>
        </w:rPr>
        <w:t xml:space="preserve">2116737841)», </w:t>
      </w:r>
      <w:r>
        <w:rPr>
          <w:rStyle w:val="CharStyle12"/>
        </w:rPr>
        <w:t>представлена на рынке следующими торговыми наименованиями: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>Behringer DR18SUB;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>Electro-Voice ELX118P;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>Yamaha DXS18XLF;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>FBT X-SUB 118SA.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Позиция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«Акустическая система (идентификатор: </w:t>
      </w:r>
      <w:r>
        <w:rPr>
          <w:rStyle w:val="CharStyle12"/>
          <w:lang w:val="en-US" w:eastAsia="en-US"/>
        </w:rPr>
        <w:t xml:space="preserve">211673785)», </w:t>
      </w:r>
      <w:r>
        <w:rPr>
          <w:rStyle w:val="CharStyle12"/>
        </w:rPr>
        <w:t>представлена на рынке следующими торговыми наименованиями: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>Biema C-12MPOWER;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>Haymer CQ-12A;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>XLINE ALFA M-12A;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2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>Wharfedale Pro DVP-AX12M;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2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>INVOTONE DSX12CMA.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Позиция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«Микшерный пульт (идентификатор: </w:t>
      </w:r>
      <w:r>
        <w:rPr>
          <w:rStyle w:val="CharStyle12"/>
          <w:lang w:val="en-US" w:eastAsia="en-US"/>
        </w:rPr>
        <w:t xml:space="preserve">211673786)», </w:t>
      </w:r>
      <w:r>
        <w:rPr>
          <w:rStyle w:val="CharStyle12"/>
        </w:rPr>
        <w:t>представлена на рынке следующими торговыми наименованиями: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>BEHRINGER X2222USB;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2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>Yamaha MG16XU;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>Mackie ProFX16v3;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2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>Allen &amp; Heath ZED-16FX.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связи с изложенным, Комиссия Воронежского УФАС России признает довод жалобы необоснованным.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частью </w:t>
      </w:r>
      <w:r>
        <w:rPr>
          <w:rStyle w:val="CharStyle12"/>
          <w:lang w:val="en-US" w:eastAsia="en-US"/>
        </w:rPr>
        <w:t xml:space="preserve">1.1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 при описании оборудования, являющегося объектом закупки, в отношении которого Правительством Российской Федерации установлены запрет, ограничение или преимущество, указываются характеристики товара российского происхождения.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Частью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 xml:space="preserve">Закона установлено, что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российское лицо), за исключением случаев принятия Правительством Российской Федерации мер, предусмотренных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настоящей статьи. Если иное не предусмотрено мерами, принятыми Правительством Российской Федерации в соответствии с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>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>Закона, Правительство Российской Федерации: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4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вправе с учетом положений части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настоящей статьи принимать меры, устанавливающие:</w:t>
      </w:r>
    </w:p>
    <w:p>
      <w:pPr>
        <w:pStyle w:val="Style11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4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3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3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определяет информацию и перечень документов, которые подтверждают страну происхождения товара для целей настоящего Федерального закона, в случае принятия мер, предусмотренных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настоящей части.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Во исполнение указанных норм Закона Правительством РФ принято Постановление Правительства РФ от </w:t>
      </w:r>
      <w:r>
        <w:rPr>
          <w:rStyle w:val="CharStyle12"/>
          <w:lang w:val="en-US" w:eastAsia="en-US"/>
        </w:rPr>
        <w:t xml:space="preserve">23.12.2024 N 1875 </w:t>
      </w:r>
      <w:r>
        <w:rPr>
          <w:rStyle w:val="CharStyle12"/>
        </w:rPr>
        <w:t xml:space="preserve">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>N 1875).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силу п.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Постановления </w:t>
      </w:r>
      <w:r>
        <w:rPr>
          <w:rStyle w:val="CharStyle12"/>
          <w:lang w:val="en-US" w:eastAsia="en-US"/>
        </w:rPr>
        <w:t xml:space="preserve">N 1875, </w:t>
      </w:r>
      <w:r>
        <w:rPr>
          <w:rStyle w:val="CharStyle12"/>
        </w:rPr>
        <w:t>информацией и документами, подтверждающими страну происхождения товара для целей настоящего постановления, в том числе, являются: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1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указание в заявке на участие в закупке наименования страны происхождения товара (в случае осуществления закупки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такое указание осуществляется в соответствии с подпунктом "б" пункта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указанного Федерального закона).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извещении установлено ограничение закупок товаров, происходящих из иностранных государств, выполняемых работ, оказываемых услуг иностранными лицами.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Приложении </w:t>
      </w:r>
      <w:r>
        <w:rPr>
          <w:rStyle w:val="CharStyle12"/>
          <w:lang w:val="en-US" w:eastAsia="en-US"/>
        </w:rPr>
        <w:t xml:space="preserve">№ 3 — </w:t>
      </w:r>
      <w:r>
        <w:rPr>
          <w:rStyle w:val="CharStyle12"/>
        </w:rPr>
        <w:t>описание объекта закупки Заказчиком указана следующая информация: в реестре российской промышленной продукции отсутствует товар с характеристиками, соответствующими потребностями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Таким образом, Заказчиком задекларировано отсутствие товара российского происхождения, соответствующего требованиям технического задания.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Поскольку объектом закупки является поставка товаров, а не их изготовление, то поставщиком товара может быть любое заинтересованное лицо.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Таким образом, довод жалобы необоснован.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доводу жалобы «Заказчик неправомерно не устанавливает объем услуг по монтажу».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Включение в предмет контракта на поставку оборудования обязательств по его монтажу и наладке не противоречит законодательству (ст. </w:t>
      </w:r>
      <w:r>
        <w:rPr>
          <w:rStyle w:val="CharStyle12"/>
          <w:lang w:val="en-US" w:eastAsia="en-US"/>
        </w:rPr>
        <w:t xml:space="preserve">34,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42 </w:t>
      </w:r>
      <w:r>
        <w:rPr>
          <w:rStyle w:val="CharStyle12"/>
        </w:rPr>
        <w:t>Закона о контрактной системе). Проект контракта и извещение содержат все существенные условия: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сто монтажа (Воронежская обл., Павловский р-н, с. Покровка, ул. Советская, </w:t>
      </w:r>
      <w:r>
        <w:rPr>
          <w:rStyle w:val="CharStyle12"/>
          <w:lang w:val="en-US" w:eastAsia="en-US"/>
        </w:rPr>
        <w:t>63);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срок исполнения (до </w:t>
      </w:r>
      <w:r>
        <w:rPr>
          <w:rStyle w:val="CharStyle12"/>
          <w:lang w:val="en-US" w:eastAsia="en-US"/>
        </w:rPr>
        <w:t>20.05.2026);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обязанность Поставщика выполнить монтаж собственными силами или с привлечением третьих лиц за свой счёт.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Требования к объёму монтажных работ могут быть конкретизированы в ходе исполнения контракта исходя из технической документации на поставляемое оборудование и особенностей помещения. Отсутствие в документации фотографий помещения, схем прокладки кабеля или плана размещения оборудования не является нарушением Закона о контрактной системе, так как такие детали не отнесены к обязательным сведениям извещения.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Включение стоимости монтажа в общую цену контракта без выделения отдельной строки допускается и не ограничивает конкуренцию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все участники находятся в равных условиях, поскольку обязаны исполнить контракт по фиксированной цене, включающей все расходы.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Довод о начислении пени за просрочку поставки с учётом монтажа носит гипотетический характер и не может быть проверен в рамках рассмотрения жалобы на положения документации.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По доводу о непредоставлении надлежащих разъяснений.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ч.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42 </w:t>
      </w:r>
      <w:r>
        <w:rPr>
          <w:rStyle w:val="CharStyle12"/>
        </w:rPr>
        <w:t xml:space="preserve">Закона о контрактной системе заказчик в течение двух дней со дня, следующего за днём поступления запроса, размещает в ЕИС разъяснение с указанием предмета запроса. Из материалов дела следует, что Заказчик </w:t>
      </w:r>
      <w:r>
        <w:rPr>
          <w:rStyle w:val="CharStyle12"/>
          <w:lang w:val="en-US" w:eastAsia="en-US"/>
        </w:rPr>
        <w:t xml:space="preserve">20.04.2026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21.04.2026 </w:t>
      </w:r>
      <w:r>
        <w:rPr>
          <w:rStyle w:val="CharStyle12"/>
        </w:rPr>
        <w:t>разместил разъяснения, указав предметы запросов и ответы на них.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Несогласие Заявителя с содержанием разъяснений (отсутствие ссылок на конкретные модели, которые брались за основу) не образует состава нарушения, поскольку: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 не обязан раскрывать информацию о том, какие именно модели были ориентиром при составлении описания объекта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разъяснения даны по существу поставленных в запросах вопросов, что подтверждается скриншотами из ЕИС.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Комиссия отмечает, что жалоба ООО «За Достойную жизнь» содержит оценочные и эмоциональные утверждения о «коррупции», «покушении на мошенничество», «нецелевом использовании бюджетных средств», однако никаких доказательств указанных фактов Заявителем не представлено. Само по себе несогласие участника с установленными характеристиками товара не является основанием для квалификации действий заказчика как нарушения антимонопольного законодательства.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Кроме того, Заявитель явку представителей на заседание не обеспечил, доказательств нарушения своих прав и интересов не предоставил.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изложенного, руководствуясь ч. </w:t>
      </w:r>
      <w:r>
        <w:rPr>
          <w:rStyle w:val="CharStyle12"/>
          <w:lang w:val="en-US" w:eastAsia="en-US"/>
        </w:rPr>
        <w:t xml:space="preserve">8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 xml:space="preserve">Закона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44-ФЗ, Комиссия Воронежского УФАС России,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</w:rPr>
        <w:t>Р Е Ш И Л 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2"/>
        </w:rPr>
        <w:t>Признать жалобу общества с ограниченной ответственностью «За достойную жизнь» на действия на действия Муниципального казенного учреждения Павловского муниципального района «Централизованная клубная система» при проведении закупки на поставку звукового оборудования для обеспечения нужд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Покровского СДК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структурного подразделения МКУК «ЦКС» (номер извещения </w:t>
      </w:r>
      <w:r>
        <w:rPr>
          <w:rStyle w:val="CharStyle12"/>
          <w:lang w:val="en-US" w:eastAsia="en-US"/>
        </w:rPr>
        <w:t xml:space="preserve">0831600001026000079) </w:t>
      </w:r>
      <w:r>
        <w:rPr>
          <w:rStyle w:val="CharStyle12"/>
        </w:rPr>
        <w:t>необоснованной.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3" w:right="551" w:bottom="1175" w:left="109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1023620" distL="0" distR="0" simplePos="0" relativeHeight="125829380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533400</wp:posOffset>
                </wp:positionV>
                <wp:extent cx="1825625" cy="66167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661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Ведущий заседание, заместитель председателя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8.pt;margin-top:42.pt;width:143.75pt;height:52.100000000000001pt;z-index:-125829373;mso-wrap-distance-left:0;mso-wrap-distance-top:42.pt;mso-wrap-distance-right:0;mso-wrap-distance-bottom:80.600000000000009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Ведущий заседание, заместитель председателя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27505" distB="340995" distL="0" distR="0" simplePos="0" relativeHeight="125829382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1627505</wp:posOffset>
                </wp:positionV>
                <wp:extent cx="1344295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75pt;margin-top:128.15000000000001pt;width:105.85000000000001pt;height:19.699999999999999pt;z-index:-125829371;mso-wrap-distance-left:0;mso-wrap-distance-top:128.15000000000001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06425" distB="1090930" distL="0" distR="1786255" simplePos="0" relativeHeight="125829384" behindDoc="0" locked="0" layoutInCell="1" allowOverlap="1">
            <wp:simplePos x="0" y="0"/>
            <wp:positionH relativeFrom="page">
              <wp:posOffset>2650490</wp:posOffset>
            </wp:positionH>
            <wp:positionV relativeFrom="paragraph">
              <wp:posOffset>606425</wp:posOffset>
            </wp:positionV>
            <wp:extent cx="359410" cy="52451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3110865</wp:posOffset>
                </wp:positionH>
                <wp:positionV relativeFrom="paragraph">
                  <wp:posOffset>1011555</wp:posOffset>
                </wp:positionV>
                <wp:extent cx="1283335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44.95000000000002pt;margin-top:79.65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3070860</wp:posOffset>
                </wp:positionH>
                <wp:positionV relativeFrom="paragraph">
                  <wp:posOffset>694690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41.80000000000001pt;margin-top:54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67130" distB="753110" distL="0" distR="0" simplePos="0" relativeHeight="125829385" behindDoc="0" locked="0" layoutInCell="1" allowOverlap="1">
                <wp:simplePos x="0" y="0"/>
                <wp:positionH relativeFrom="page">
                  <wp:posOffset>2662555</wp:posOffset>
                </wp:positionH>
                <wp:positionV relativeFrom="paragraph">
                  <wp:posOffset>1167130</wp:posOffset>
                </wp:positionV>
                <wp:extent cx="2191385" cy="29845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138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17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17"/>
                                <w:color w:val="000000"/>
                                <w:sz w:val="11"/>
                                <w:szCs w:val="11"/>
                              </w:rPr>
                              <w:t>Рощупкина Юлия Вениаминовна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17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17"/>
                                <w:lang w:val="en-US" w:eastAsia="en-US"/>
                              </w:rPr>
                              <w:t>00AF4D3D160B60C8EFFA4933C71</w:t>
                            </w:r>
                            <w:r>
                              <w:rPr>
                                <w:rStyle w:val="CharStyle17"/>
                              </w:rPr>
                              <w:t>1509056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 xml:space="preserve">Действителен с 17.04.2026 </w:t>
                            </w:r>
                            <w:r>
                              <w:rPr>
                                <w:rStyle w:val="CharStyle17"/>
                                <w:color w:val="5C5C5C"/>
                              </w:rPr>
                              <w:t>по 1</w:t>
                            </w:r>
                            <w:r>
                              <w:rPr>
                                <w:rStyle w:val="CharStyle17"/>
                              </w:rPr>
                              <w:t>1.07.2027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09.65000000000001pt;margin-top:91.900000000000006pt;width:172.55000000000001pt;height:23.5pt;z-index:-125829368;mso-wrap-distance-left:0;mso-wrap-distance-top:91.900000000000006pt;mso-wrap-distance-right:0;mso-wrap-distance-bottom:59.300000000000004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17"/>
                        </w:rPr>
                        <w:t xml:space="preserve">Кому выдан: </w:t>
                      </w:r>
                      <w:r>
                        <w:rPr>
                          <w:rStyle w:val="CharStyle17"/>
                          <w:color w:val="000000"/>
                          <w:sz w:val="11"/>
                          <w:szCs w:val="11"/>
                        </w:rPr>
                        <w:t>Рощупкина Юлия Вениаминовна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 xml:space="preserve">Сертификат </w:t>
                      </w:r>
                      <w:r>
                        <w:rPr>
                          <w:rStyle w:val="CharStyle17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17"/>
                          <w:lang w:val="en-US" w:eastAsia="en-US"/>
                        </w:rPr>
                        <w:t>00AF4D3D160B60C8EFFA4933C71</w:t>
                      </w:r>
                      <w:r>
                        <w:rPr>
                          <w:rStyle w:val="CharStyle17"/>
                        </w:rPr>
                        <w:t>1509056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 xml:space="preserve">Действителен с 17.04.2026 </w:t>
                      </w:r>
                      <w:r>
                        <w:rPr>
                          <w:rStyle w:val="CharStyle17"/>
                          <w:color w:val="5C5C5C"/>
                        </w:rPr>
                        <w:t>по 1</w:t>
                      </w:r>
                      <w:r>
                        <w:rPr>
                          <w:rStyle w:val="CharStyle17"/>
                        </w:rPr>
                        <w:t>1.07.2027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00530" distB="0" distL="0" distR="1786255" simplePos="0" relativeHeight="125829387" behindDoc="0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1700530</wp:posOffset>
            </wp:positionV>
            <wp:extent cx="359410" cy="518160"/>
            <wp:wrapTopAndBottom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2103120</wp:posOffset>
                </wp:positionV>
                <wp:extent cx="1283335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45.20000000000002pt;margin-top:165.5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1785620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42.05000000000001pt;margin-top:140.59999999999999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1432560" distL="0" distR="0" simplePos="0" relativeHeight="125829388" behindDoc="0" locked="0" layoutInCell="1" allowOverlap="1">
                <wp:simplePos x="0" y="0"/>
                <wp:positionH relativeFrom="page">
                  <wp:posOffset>5860415</wp:posOffset>
                </wp:positionH>
                <wp:positionV relativeFrom="paragraph">
                  <wp:posOffset>533400</wp:posOffset>
                </wp:positionV>
                <wp:extent cx="1325880" cy="25273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Ю.В. Рощупкина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61.44999999999999pt;margin-top:42.pt;width:104.40000000000001pt;height:19.900000000000002pt;z-index:-125829365;mso-wrap-distance-left:0;mso-wrap-distance-top:42.pt;mso-wrap-distance-right:0;mso-wrap-distance-bottom:112.8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Ю.В. Рощупкина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27505" distB="340995" distL="0" distR="0" simplePos="0" relativeHeight="125829390" behindDoc="0" locked="0" layoutInCell="1" allowOverlap="1">
                <wp:simplePos x="0" y="0"/>
                <wp:positionH relativeFrom="page">
                  <wp:posOffset>5979160</wp:posOffset>
                </wp:positionH>
                <wp:positionV relativeFrom="paragraph">
                  <wp:posOffset>1627505</wp:posOffset>
                </wp:positionV>
                <wp:extent cx="1207135" cy="25019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713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А.Р. Башкирова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470.80000000000001pt;margin-top:128.15000000000001pt;width:95.049999999999997pt;height:19.699999999999999pt;z-index:-125829363;mso-wrap-distance-left:0;mso-wrap-distance-top:128.15000000000001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А.Р. Башкирова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  <w:sz w:val="11"/>
          <w:szCs w:val="11"/>
        </w:rPr>
        <w:t>Башкирова Анастасия Романовна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4FE3D4FC6DEBD554A3AED345029FF022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2" behindDoc="0" locked="0" layoutInCell="1" allowOverlap="1">
                <wp:simplePos x="0" y="0"/>
                <wp:positionH relativeFrom="page">
                  <wp:posOffset>6000750</wp:posOffset>
                </wp:positionH>
                <wp:positionV relativeFrom="paragraph">
                  <wp:posOffset>266700</wp:posOffset>
                </wp:positionV>
                <wp:extent cx="1185545" cy="250190"/>
                <wp:wrapSquare wrapText="left"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55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Ю.М. Горелова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472.5pt;margin-top:21.pt;width:93.350000000000009pt;height:19.699999999999999pt;z-index:-1258293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Ю.М. Горелова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7"/>
        </w:rPr>
        <w:t xml:space="preserve">Действителен с 21.04.2026 </w:t>
      </w:r>
      <w:r>
        <w:rPr>
          <w:rStyle w:val="CharStyle17"/>
          <w:color w:val="5C5C5C"/>
        </w:rPr>
        <w:t xml:space="preserve">по </w:t>
      </w:r>
      <w:r>
        <w:rPr>
          <w:rStyle w:val="CharStyle17"/>
        </w:rPr>
        <w:t>15.07.2027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10" w:line="240" w:lineRule="auto"/>
        <w:ind w:right="0" w:firstLine="0"/>
        <w:jc w:val="left"/>
      </w:pPr>
      <w:r>
        <w:rPr>
          <w:rStyle w:val="CharStyle29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86" w:line="240" w:lineRule="auto"/>
        <w:ind w:left="0" w:right="0" w:firstLine="0"/>
        <w:jc w:val="center"/>
        <w:rPr>
          <w:sz w:val="11"/>
          <w:szCs w:val="11"/>
        </w:rPr>
      </w:pPr>
      <w:r>
        <w:rPr>
          <w:rStyle w:val="CharStyle17"/>
          <w:color w:val="FFFFFF"/>
          <w:sz w:val="11"/>
          <w:szCs w:val="11"/>
        </w:rPr>
        <w:t>СВЕДЕНИЯ О СЕРТИФИКАТЕ ЭП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  <w:sz w:val="11"/>
          <w:szCs w:val="11"/>
        </w:rPr>
        <w:t>ГОРЕЛОВА ЮЛИЯ МИХАЙЛОВНА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00FF7542F1CF520D7ED33CCA8883500081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17"/>
        </w:rPr>
        <w:t xml:space="preserve">Действителен с 21.04.2026 </w:t>
      </w:r>
      <w:r>
        <w:rPr>
          <w:rStyle w:val="CharStyle17"/>
          <w:color w:val="5C5C5C"/>
        </w:rPr>
        <w:t xml:space="preserve">по </w:t>
      </w:r>
      <w:r>
        <w:rPr>
          <w:rStyle w:val="CharStyle17"/>
        </w:rPr>
        <w:t>15.07.2027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5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718185</wp:posOffset>
              </wp:positionH>
              <wp:positionV relativeFrom="page">
                <wp:posOffset>10010775</wp:posOffset>
              </wp:positionV>
              <wp:extent cx="658495" cy="12509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2026-2992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550000000000004pt;margin-top:788.25pt;width:51.85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2026-2992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8495" cy="12509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2026-2992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5.70000000000005pt;width:51.85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2026-2992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Body text (5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7">
    <w:name w:val="Body text (2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2">
    <w:name w:val="Heading #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56"/>
      <w:szCs w:val="56"/>
      <w:u w:val="none"/>
      <w:lang w:val="en-US" w:eastAsia="en-US"/>
    </w:rPr>
  </w:style>
  <w:style w:type="character" w:customStyle="1" w:styleId="CharStyle24">
    <w:name w:val="Table caption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6">
    <w:name w:val="Other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9">
    <w:name w:val="Body text (4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80"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Body text (5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6">
    <w:name w:val="Body text (2)"/>
    <w:basedOn w:val="Normal"/>
    <w:link w:val="CharStyle1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6"/>
      <w:szCs w:val="56"/>
      <w:u w:val="none"/>
      <w:lang w:val="en-US" w:eastAsia="en-US"/>
    </w:rPr>
  </w:style>
  <w:style w:type="paragraph" w:customStyle="1" w:styleId="Style23">
    <w:name w:val="Table caption"/>
    <w:basedOn w:val="Normal"/>
    <w:link w:val="CharStyle2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5">
    <w:name w:val="Other"/>
    <w:basedOn w:val="Normal"/>
    <w:link w:val="CharStyle2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8">
    <w:name w:val="Body text (4)"/>
    <w:basedOn w:val="Normal"/>
    <w:link w:val="CharStyle29"/>
    <w:pPr>
      <w:widowControl w:val="0"/>
      <w:shd w:val="clear" w:color="auto" w:fill="auto"/>
      <w:spacing w:after="120"/>
      <w:ind w:left="37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