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24510" cy="56705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5670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7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546" w:bottom="1225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Воронежской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20"/>
        <w:jc w:val="left"/>
      </w:pPr>
      <w:r>
        <w:rPr>
          <w:rStyle w:val="CharStyle6"/>
        </w:rPr>
        <w:t>пр-кт Революции, 21, г. Воронеж, 394036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тел./факс+7 (473) 255-92-44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"mailto:to36@fas.gov.ru"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to36@fas.gov.ru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978" w:val="left"/>
        </w:tabs>
        <w:bidi w:val="0"/>
        <w:spacing w:before="0" w:line="240" w:lineRule="auto"/>
        <w:ind w:left="0" w:right="0"/>
        <w:jc w:val="both"/>
      </w:pPr>
      <w:bookmarkStart w:id="0" w:name="bookmark0"/>
      <w:r>
        <w:rPr>
          <w:rStyle w:val="CharStyle10"/>
          <w:u w:val="none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  <w:u w:val="none"/>
        </w:rPr>
        <w:t>7.05.</w:t>
      </w:r>
      <w:r>
        <w:rPr>
          <w:rStyle w:val="CharStyle10"/>
        </w:rPr>
        <w:t>2026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ЮР/2601/2</w:t>
      </w:r>
      <w:r>
        <w:rPr>
          <w:rStyle w:val="CharStyle10"/>
          <w:u w:val="none"/>
        </w:rPr>
        <w:t>6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left"/>
      </w:pPr>
      <w:r>
        <w:rPr>
          <w:rStyle w:val="CharStyle6"/>
        </w:rPr>
        <w:t xml:space="preserve">На№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решение № 036/06/105-488/2026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>ОБЩЕСТВО С ОГРАНИЧЕННОЙ ОТВЕТСТВЕННОСТЬЮ "МАГ+С" 398056, ЛИПЕЦКАЯ ОБЛАСТЬ, 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>ЛИПЕЦК, УЛ. ИМ. БАУМАНА, Д. 333Г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>Администрация Репьевского муниципального района Воронежской области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>396370, Воронежская обл., с. Репьевка, пл. Победы, 1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627" w:bottom="1217" w:left="1106" w:header="0" w:footer="3" w:gutter="0"/>
          <w:cols w:num="2" w:space="720" w:equalWidth="0">
            <w:col w:w="4301" w:space="998"/>
            <w:col w:w="4867"/>
          </w:cols>
          <w:noEndnote/>
          <w:rtlGutter w:val="0"/>
          <w:docGrid w:linePitch="360"/>
        </w:sectPr>
      </w:pPr>
      <w:r>
        <w:fldChar w:fldCharType="begin"/>
      </w:r>
      <w:r>
        <w:rPr/>
        <w:instrText> HYPERLINK "mailto:repev@govvrn.ru" </w:instrText>
      </w:r>
      <w:r>
        <w:fldChar w:fldCharType="separate"/>
      </w:r>
      <w:r>
        <w:rPr>
          <w:rStyle w:val="CharStyle15"/>
          <w:sz w:val="28"/>
          <w:szCs w:val="28"/>
          <w:lang w:val="en-US" w:eastAsia="en-US"/>
        </w:rPr>
        <w:t>repev@govvrn.ru</w:t>
      </w:r>
      <w:r>
        <w:fldChar w:fldCharType="end"/>
      </w:r>
      <w:r>
        <w:rPr>
          <w:rStyle w:val="CharStyle15"/>
          <w:sz w:val="28"/>
          <w:szCs w:val="28"/>
          <w:lang w:val="en-US" w:eastAsia="en-US"/>
        </w:rPr>
        <w:t xml:space="preserve">, </w:t>
      </w:r>
      <w:r>
        <w:fldChar w:fldCharType="begin"/>
      </w:r>
      <w:r>
        <w:rPr/>
        <w:instrText> HYPERLINK "mailto:repevka.repev@govvrn.ru" </w:instrText>
      </w:r>
      <w:r>
        <w:fldChar w:fldCharType="separate"/>
      </w:r>
      <w:r>
        <w:rPr>
          <w:rStyle w:val="CharStyle15"/>
          <w:sz w:val="28"/>
          <w:szCs w:val="28"/>
          <w:lang w:val="en-US" w:eastAsia="en-US"/>
        </w:rPr>
        <w:t>repevka.repev@govvrn.ru</w:t>
      </w:r>
      <w:r>
        <w:fldChar w:fldCharType="end"/>
      </w:r>
    </w:p>
    <w:p>
      <w:pPr>
        <w:widowControl w:val="0"/>
        <w:spacing w:line="92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4" w:right="0" w:bottom="120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5"/>
        </w:rPr>
        <w:t>Р Е Ш Е Н И 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5"/>
        </w:rPr>
        <w:t>по результатам рассмотрения жалобы ООО «МАГ+С» на действия администрации</w:t>
        <w:br/>
        <w:t>Репьёвского сельского поселения Репьёвского муниципального района Воронежской</w:t>
        <w:br/>
        <w:t>области при осуществлении закупки на проведение работ по разработке проектной</w:t>
        <w:br/>
        <w:t>документации по рекультивации несанкционированной свалки и ликвидации объекта</w:t>
        <w:br/>
        <w:t>накопленного вреда окружающей среде на земельном участке с кадастровым номером</w:t>
        <w:br/>
        <w:t>36:26:4400012:158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5"/>
        </w:rPr>
        <w:t>(номер извещения: 0131300039526000020)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center"/>
      </w:pPr>
      <w:r>
        <w:rPr>
          <w:rStyle w:val="CharStyle15"/>
        </w:rPr>
        <w:t>(Дело № 036/06/105-488/2026)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6408420</wp:posOffset>
                </wp:positionH>
                <wp:positionV relativeFrom="paragraph">
                  <wp:posOffset>12700</wp:posOffset>
                </wp:positionV>
                <wp:extent cx="795655" cy="23495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565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г. Воронеж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04.60000000000002pt;margin-top:1.pt;width:62.649999999999999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г. Воронеж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5"/>
        </w:rPr>
        <w:t>04.05.2026 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rStyle w:val="CharStyle15"/>
        </w:rPr>
        <w:t>Резолютивная часть настоящего решения объявлена 04.05.2026 года.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r>
        <w:rPr>
          <w:rStyle w:val="CharStyle15"/>
        </w:rPr>
        <w:t>В полном объеме решение изготовлено 07.05.2026 года.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5"/>
        </w:rPr>
        <w:t>Комиссия Управления Федеральной антимонопольной службы по Воронежской области по контролю в сфере закупок (далее – Комиссия Воронежского УФАС России) в составе: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40" w:val="left"/>
        </w:tabs>
        <w:bidi w:val="0"/>
        <w:spacing w:before="0" w:after="0"/>
        <w:ind w:left="0" w:right="0" w:firstLine="380"/>
        <w:jc w:val="left"/>
      </w:pPr>
      <w:r>
        <w:rPr>
          <w:rStyle w:val="CharStyle15"/>
        </w:rPr>
        <w:t>Рощупкина Ю.В. – заместитель председателя Комиссии Воронежского УФАС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740"/>
        <w:jc w:val="left"/>
      </w:pPr>
      <w:r>
        <w:rPr>
          <w:rStyle w:val="CharStyle15"/>
        </w:rPr>
        <w:t>России, начальник отдела контроля закупок Управления Федеральной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19"/>
        </w:rPr>
        <w:t>1IIIIIIIIIIIIIIIIIIIIIII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антимонопольной службы по Воронежской области;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75" w:val="left"/>
        </w:tabs>
        <w:bidi w:val="0"/>
        <w:spacing w:before="0" w:after="0" w:line="350" w:lineRule="auto"/>
        <w:ind w:left="720" w:right="0" w:hanging="340"/>
        <w:jc w:val="both"/>
      </w:pPr>
      <w:r>
        <w:rPr>
          <w:rStyle w:val="CharStyle15"/>
        </w:rPr>
        <w:t xml:space="preserve">Башкирова А.Р.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член Комиссии Воронежского УФАС России, государственный инспектор отдела контроля закупок Управления Федеральной антимонопольной службы по Воронежской области;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75" w:val="left"/>
        </w:tabs>
        <w:bidi w:val="0"/>
        <w:spacing w:before="0" w:after="0" w:line="350" w:lineRule="auto"/>
        <w:ind w:left="720" w:right="0" w:hanging="340"/>
        <w:jc w:val="both"/>
      </w:pPr>
      <w:r>
        <w:rPr>
          <w:rStyle w:val="CharStyle15"/>
        </w:rPr>
        <w:t xml:space="preserve">Горелова Ю.М.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член Комиссии Воронежского УФАС России, государственный инспектор отдела контроля закупок Управления Федеральной антимонопольной службы по Воронежской области;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2" w:val="left"/>
        </w:tabs>
        <w:bidi w:val="0"/>
        <w:spacing w:before="0" w:after="0"/>
        <w:ind w:left="0" w:right="0" w:firstLine="740"/>
        <w:jc w:val="both"/>
      </w:pPr>
      <w:r>
        <w:rPr>
          <w:rStyle w:val="CharStyle15"/>
        </w:rPr>
        <w:t xml:space="preserve">ри участии представителя ООО «МАГ+С»: Жукатинского С.М. (директор, решение </w:t>
      </w:r>
      <w:r>
        <w:rPr>
          <w:rStyle w:val="CharStyle15"/>
          <w:lang w:val="en-US" w:eastAsia="en-US"/>
        </w:rPr>
        <w:t xml:space="preserve">№ 18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 xml:space="preserve">09.09.2022 </w:t>
      </w:r>
      <w:r>
        <w:rPr>
          <w:rStyle w:val="CharStyle15"/>
        </w:rPr>
        <w:t>года);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5"/>
        </w:rPr>
        <w:t>в отсутствие представителей администрации Репьёвского сельского поселения Репьёвского муниципального района Воронежской области (полномочия не подтверждены, доверенность не направлена, подключение осуществлено без обратной связи с представителем),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20"/>
        <w:ind w:left="0" w:right="0" w:firstLine="740"/>
        <w:jc w:val="both"/>
      </w:pPr>
      <w:r>
        <w:rPr>
          <w:rStyle w:val="CharStyle15"/>
        </w:rPr>
        <w:t xml:space="preserve">рассмотрев жалобу ООО «МАГ+С» на действия администрации Репьёвского сельского поселения Репьёвского муниципального района Воронежской области при осуществлении закупки на проведение работ по разработке проектной документации по рекультивации несанкционированной свалки и ликвидации объекта накопленного вреда окружающей среде на земельном участке с кадастровым номером </w:t>
      </w:r>
      <w:r>
        <w:rPr>
          <w:rStyle w:val="CharStyle15"/>
          <w:lang w:val="en-US" w:eastAsia="en-US"/>
        </w:rPr>
        <w:t xml:space="preserve">36:26:4400012:158 </w:t>
      </w:r>
      <w:r>
        <w:rPr>
          <w:rStyle w:val="CharStyle15"/>
        </w:rPr>
        <w:t xml:space="preserve">(номер извещения: </w:t>
      </w:r>
      <w:r>
        <w:rPr>
          <w:rStyle w:val="CharStyle15"/>
          <w:lang w:val="en-US" w:eastAsia="en-US"/>
        </w:rPr>
        <w:t>0131300039526000020)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20"/>
        <w:ind w:left="0" w:right="0" w:firstLine="740"/>
        <w:jc w:val="both"/>
      </w:pPr>
      <w:r>
        <w:rPr>
          <w:rStyle w:val="CharStyle15"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5"/>
        </w:rPr>
        <w:t xml:space="preserve">В Управление Федеральной антимонопольной службы по Воронежской области поступила жалоба ООО «МАГ+С»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Заявитель) на действия администрации Репьёвского сельского поселения Репьёвского муниципального района Воронежской области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Заказчик) при осуществлении закупки на проведение работ по разработке проектной документации по рекультивации несанкционированной свалки и ликвидации объекта накопленного вреда окружающей среде на земельном участке с кадастровым номером </w:t>
      </w:r>
      <w:r>
        <w:rPr>
          <w:rStyle w:val="CharStyle15"/>
          <w:lang w:val="en-US" w:eastAsia="en-US"/>
        </w:rPr>
        <w:t xml:space="preserve">36:26:4400012:158 </w:t>
      </w:r>
      <w:r>
        <w:rPr>
          <w:rStyle w:val="CharStyle15"/>
        </w:rPr>
        <w:t xml:space="preserve">(номер извещения: </w:t>
      </w:r>
      <w:r>
        <w:rPr>
          <w:rStyle w:val="CharStyle15"/>
          <w:lang w:val="en-US" w:eastAsia="en-US"/>
        </w:rPr>
        <w:t xml:space="preserve">0131300039526000020)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Конкурс).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20"/>
        <w:ind w:left="0" w:right="0" w:firstLine="740"/>
        <w:jc w:val="both"/>
      </w:pPr>
      <w:r>
        <w:rPr>
          <w:rStyle w:val="CharStyle15"/>
        </w:rPr>
        <w:t>По мнению Заявителя, Заказчиком в извещении о проведении Конкурса неправомерно установлены требования, ограничивающие количество участников закупки, а именно: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9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требование о членстве участника в саморегулируемой организации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СРО) в области инженерных изысканий и архитектурно-строительного проектирования (п.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Закон о контрактной системе));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9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дополнительное требование о наличии опыта исполнения договора по подготовке проектной документации и (или) выполнению инженерных изысканий (ч.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Закона о контрактной системе, позиция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раздела </w:t>
      </w:r>
      <w:r>
        <w:rPr>
          <w:rStyle w:val="CharStyle15"/>
          <w:lang w:val="en-US" w:eastAsia="en-US"/>
        </w:rPr>
        <w:t xml:space="preserve">II </w:t>
      </w:r>
      <w:r>
        <w:rPr>
          <w:rStyle w:val="CharStyle15"/>
        </w:rPr>
        <w:t xml:space="preserve">приложения к постановлению Постановление Правительства Российской Федерации от </w:t>
      </w:r>
      <w:r>
        <w:rPr>
          <w:rStyle w:val="CharStyle15"/>
          <w:lang w:val="en-US" w:eastAsia="en-US"/>
        </w:rPr>
        <w:t xml:space="preserve">29.12.2021 N 2571 </w:t>
      </w:r>
      <w:r>
        <w:rPr>
          <w:rStyle w:val="CharStyle15"/>
        </w:rPr>
        <w:t xml:space="preserve">"О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Федерации"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Постановление Правительства Российской Федерации </w:t>
      </w:r>
      <w:r>
        <w:rPr>
          <w:rStyle w:val="CharStyle15"/>
          <w:lang w:val="en-US" w:eastAsia="en-US"/>
        </w:rPr>
        <w:t>№2571).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Заказчик с доводами жалобы не согласился, представил письменные возражения, в которых указали, что требования установлены в соответствии с законодательством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Изучив материалы дела, предоставленные доказательства, а также осуществив внеплановую проверку настоящей закупки, Комиссия Воронежского УФАС России пришла к следующим выводам.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3" w:val="left"/>
        </w:tabs>
        <w:bidi w:val="0"/>
        <w:spacing w:before="0" w:after="0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0.04.2026 </w:t>
      </w:r>
      <w:r>
        <w:rPr>
          <w:rStyle w:val="CharStyle15"/>
        </w:rPr>
        <w:t xml:space="preserve">года в Единой информационной системе размещено Извещение о проведении открытого конкурса в электронной форме от </w:t>
      </w:r>
      <w:r>
        <w:rPr>
          <w:rStyle w:val="CharStyle15"/>
          <w:lang w:val="en-US" w:eastAsia="en-US"/>
        </w:rPr>
        <w:t xml:space="preserve">10.04.2026 №0131300039526000020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Извещение).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Начальная (Максимальная) цена контракта составляет </w:t>
      </w:r>
      <w:r>
        <w:rPr>
          <w:rStyle w:val="CharStyle15"/>
          <w:lang w:val="en-US" w:eastAsia="en-US"/>
        </w:rPr>
        <w:t xml:space="preserve">– 9 533 333,33 </w:t>
      </w:r>
      <w:r>
        <w:rPr>
          <w:rStyle w:val="CharStyle15"/>
        </w:rPr>
        <w:t>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Предметом рассматриваемой закупки является проведение работ по разработке проектной документации по рекультивации несанкционированной свалки и ликвидации объекта накопленного вреда окружающей среде на земельном участке с кадастровым номером </w:t>
      </w:r>
      <w:r>
        <w:rPr>
          <w:rStyle w:val="CharStyle15"/>
          <w:lang w:val="en-US" w:eastAsia="en-US"/>
        </w:rPr>
        <w:t>36:26:4400012:158.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Определение поставщика (подрядчика, исполнителя) осуществляется путём проведения открытого конкурса в электронной форме.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В силу части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24 </w:t>
      </w:r>
      <w:r>
        <w:rPr>
          <w:rStyle w:val="CharStyle15"/>
        </w:rPr>
        <w:t>Закона о контрактной системе, под конкурсом понимается конкурентный способ определения поставщиков, при котором победителем признается участник закупки, который предложил лучшие условия исполнения контракта и заявка на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5"/>
        </w:rPr>
        <w:t>участие в закупке которого соответствует требованиям, установленным в извещении об осуществлении закупки, документации о закупке (в случае, если настоящим Федеральным законом предусмотрена документация о закупке).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и размещает в единой информационной системе извещение об осуществлении закупки, содержащее, в том числе, требования, предъявляемые к участникам закупки в соответствии с частями </w:t>
      </w:r>
      <w:r>
        <w:rPr>
          <w:rStyle w:val="CharStyle15"/>
          <w:lang w:val="en-US" w:eastAsia="en-US"/>
        </w:rPr>
        <w:t xml:space="preserve">1, 2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2.1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>настоящего Федерального закона, а также исчерпывающий перечень документов, подтверждающих соответствие участника закупки таким требованиям.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>Закона о контрактной системе установлено, что при применении конкурентных способов заказчик устанавливает единые требования к участникам закупки, включая соответствие требованиям, установленным законодательством Российской Федерации к лицам, осуществляющим выполнение работы, являющейся объектом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Частью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47 </w:t>
      </w:r>
      <w:r>
        <w:rPr>
          <w:rStyle w:val="CharStyle15"/>
        </w:rPr>
        <w:t xml:space="preserve">Градостроительного кодекса Российской Федерации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ГрК РФ) предусмотрено, что инженерные изыскания выполняются для подготовки проектной документации, строительства, реконструкции объектов капитального строительства. Подготовка проектной документации без выполнения соответствующих инженерных изысканий не допускается.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В силу 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>указанной статьи работы по договорам о выполнении инженерных изысканий должны выполняться только индивидуальными предпринимателями или юридическими лицами, которые являются членами саморегулируемых организаций в области инженерных изысканий.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Частью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ГрК РФ установлено, что архитектурно-строительное проектирование осуществляется путем подготовки проектной документации применительно к объектам капитального строительства и их частям, строящимся, реконструируемым в границах принадлежащего застройщику или иному правообладателю земельного участка.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>указанной статьи работы по договорам о подготовке проектной документации должны выполняться только индивидуальными предпринимателями или юридическими лицами, которые являются членами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5"/>
        </w:rPr>
        <w:t>саморегулируемых организаций в области архитектурно-строительного проектирования.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При этом пунктом </w:t>
      </w:r>
      <w:r>
        <w:rPr>
          <w:rStyle w:val="CharStyle15"/>
          <w:lang w:val="en-US" w:eastAsia="en-US"/>
        </w:rPr>
        <w:t xml:space="preserve">10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ГрК РФ установлено, что объект капитального строительства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это здание, строение, сооружение, объекты, строительство которых не завершено, за исключением некапитальных строений, сооружений и неотделимых улучшений земельного участка.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Так, в Извещении и Приложении </w:t>
      </w:r>
      <w:r>
        <w:rPr>
          <w:rStyle w:val="CharStyle15"/>
          <w:lang w:val="en-US" w:eastAsia="en-US"/>
        </w:rPr>
        <w:t xml:space="preserve">№ 4 </w:t>
      </w:r>
      <w:r>
        <w:rPr>
          <w:rStyle w:val="CharStyle15"/>
        </w:rPr>
        <w:t xml:space="preserve">к Извещению («Требования к участникам закупки, содержанию и составу заявки на участие в закупке и инструкция по ее заполнению») Заказчиком установлены следующие требования к участникам: о членстве в СРО в области инженерных изысканий и в области архитектурно-строительного проектирования, а также дополнительное требование в соответствии с позицией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раздела </w:t>
      </w:r>
      <w:r>
        <w:rPr>
          <w:rStyle w:val="CharStyle15"/>
          <w:lang w:val="en-US" w:eastAsia="en-US"/>
        </w:rPr>
        <w:t xml:space="preserve">II </w:t>
      </w:r>
      <w:r>
        <w:rPr>
          <w:rStyle w:val="CharStyle15"/>
        </w:rPr>
        <w:t xml:space="preserve">приложения к Постановлению Правительства Российской Федерации </w:t>
      </w:r>
      <w:r>
        <w:rPr>
          <w:rStyle w:val="CharStyle15"/>
          <w:lang w:val="en-US" w:eastAsia="en-US"/>
        </w:rPr>
        <w:t>№2571.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Комиссия Воронежского УФАС России изучив законность и обоснованность установления оспариваемых требований приходит к следующим выводам.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Как следует из пункта </w:t>
      </w:r>
      <w:r>
        <w:rPr>
          <w:rStyle w:val="CharStyle15"/>
          <w:lang w:val="en-US" w:eastAsia="en-US"/>
        </w:rPr>
        <w:t xml:space="preserve">4.5 </w:t>
      </w:r>
      <w:r>
        <w:rPr>
          <w:rStyle w:val="CharStyle15"/>
        </w:rPr>
        <w:t xml:space="preserve">раздела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Приложения </w:t>
      </w:r>
      <w:r>
        <w:rPr>
          <w:rStyle w:val="CharStyle15"/>
          <w:lang w:val="en-US" w:eastAsia="en-US"/>
        </w:rPr>
        <w:t xml:space="preserve">№ 4 </w:t>
      </w:r>
      <w:r>
        <w:rPr>
          <w:rStyle w:val="CharStyle15"/>
        </w:rPr>
        <w:t xml:space="preserve">к Извещению («Часть </w:t>
      </w:r>
      <w:r>
        <w:rPr>
          <w:rStyle w:val="CharStyle15"/>
          <w:lang w:val="en-US" w:eastAsia="en-US"/>
        </w:rPr>
        <w:t xml:space="preserve">3. </w:t>
      </w:r>
      <w:r>
        <w:rPr>
          <w:rStyle w:val="CharStyle15"/>
        </w:rPr>
        <w:t>Описание объекта закупки»), в рамках контракта Подрядчику надлежит предусмотреть следующие виды работ и решений: обоснование расчетами решений по стабилизации свалочного тела; проектирование дренажной системы сбора и удаления фильтрата; перехват и отведение поверхностного стока со свалочного тела; проектирование системы дегазации; перекрытие свалочного тела многофункциональным рекультивационным экраном, предотвращающим инфильтрацию атмосферных осадков; создание подстилающего гидроизоляционного экрана; размещение и устройство скважин для проведения наблюдения за состоянием окружающей среды.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Кроме того, подпункт </w:t>
      </w:r>
      <w:r>
        <w:rPr>
          <w:rStyle w:val="CharStyle15"/>
          <w:lang w:val="en-US" w:eastAsia="en-US"/>
        </w:rPr>
        <w:t xml:space="preserve">4.7 </w:t>
      </w:r>
      <w:r>
        <w:rPr>
          <w:rStyle w:val="CharStyle15"/>
        </w:rPr>
        <w:t xml:space="preserve">«Состав объектов в проектной документации» прямо обязывает Подрядчика предусмотреть перечень инфраструктурных объектов для сбора и очистки сточных вод, системы дегазации свалочного тела, а также перечень сетей инженерно-технического обеспечения. Более того, пунктами </w:t>
      </w:r>
      <w:r>
        <w:rPr>
          <w:rStyle w:val="CharStyle15"/>
          <w:lang w:val="en-US" w:eastAsia="en-US"/>
        </w:rPr>
        <w:t xml:space="preserve">4.2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6.3 </w:t>
      </w:r>
      <w:r>
        <w:rPr>
          <w:rStyle w:val="CharStyle15"/>
        </w:rPr>
        <w:t>Технического задания предусмотрено обязательное получение положительного заключения государственной экспертизы проектной документации и результатов инженерных изысканий.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Из совокупности приведённых положений описания объекта закупки следует, что проектируемые системы сбора и очистки сточных вод, дегазации, противофильтрационные экраны, подпорные стены и наблюдательные скважины представляют собой сооружения,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5"/>
        </w:rPr>
        <w:t>прочно связанные с землёй, перемещение которых без несоразмерного ущерба их назначению невозможно.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Следовательно, указанные сооружения обладают всеми признаками объектов капитального строительства, определёнными пунктом </w:t>
      </w:r>
      <w:r>
        <w:rPr>
          <w:rStyle w:val="CharStyle15"/>
          <w:lang w:val="en-US" w:eastAsia="en-US"/>
        </w:rPr>
        <w:t xml:space="preserve">10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ГрК РФ. Разрабатываемая проектная документация в силу прямого указания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 xml:space="preserve">ГрК РФ готовится применительно к таким объектам, в связи с чем на неё в полной мере распространяются требования части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ГрК РФ о членстве исполнителя в саморегулируемой организации в области архитектурно-строительного проектирования.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Аналогичным образом, входящие в предмет контракта инженерные изыскания (геодезические, геологические, гидрометеорологические, экологические) прямо предписаны разделом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описания объекта закупки и предназначены для подготовки указанной проектной документации, что влечёт безусловную обязательность членства подрядчика в саморегулируемой организации в области инженерных изысканий согласно 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47 </w:t>
      </w:r>
      <w:r>
        <w:rPr>
          <w:rStyle w:val="CharStyle15"/>
        </w:rPr>
        <w:t>ГрК РФ.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Таким образом, установив факт применения к объекту закупки норм законодательства о градостроительной деятельности, Комиссия Воронежского УФАС России приходит к выводу о правомерности установления Заказчиком дополнительных требований к участникам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>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 опыта работы, связанного с предметом контракта, и деловой репутации.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 xml:space="preserve">Согласно позиции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раздела </w:t>
      </w:r>
      <w:r>
        <w:rPr>
          <w:rStyle w:val="CharStyle15"/>
          <w:lang w:val="en-US" w:eastAsia="en-US"/>
        </w:rPr>
        <w:t xml:space="preserve">II </w:t>
      </w:r>
      <w:r>
        <w:rPr>
          <w:rStyle w:val="CharStyle15"/>
        </w:rPr>
        <w:t xml:space="preserve">приложения к Постановлению Правительства Российской Федерации </w:t>
      </w:r>
      <w:r>
        <w:rPr>
          <w:rStyle w:val="CharStyle15"/>
          <w:lang w:val="en-US" w:eastAsia="en-US"/>
        </w:rPr>
        <w:t xml:space="preserve">№ 2571 </w:t>
      </w:r>
      <w:r>
        <w:rPr>
          <w:rStyle w:val="CharStyle15"/>
        </w:rPr>
        <w:t>при осуществлении закупки работ по подготовке проектной документации и (или) выполнению инженерных изысканий в соответствии с законодательством о градостроительной деятельности, к участникам закупки предъявляются дополнительные требования о наличии опыта исполнения участником закупки договора, предусматривающего выполнение работ по подготовке проектной документации и (или) выполнению инженерных изысканий в соответствии с законодательством о градостроительной деятельности.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5"/>
        </w:rPr>
        <w:t>Поскольку Описанием объекта закупки предусмотрено проектирование объектов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5"/>
        </w:rPr>
        <w:t xml:space="preserve">капитального строительства и выполнение инженерных изысканий, подпадающих под регулирование ГрК РФ, действия Заказчика по установлению дополнительных требований в соответствии с Постановлением Правительства Российской Федерации </w:t>
      </w:r>
      <w:r>
        <w:rPr>
          <w:rStyle w:val="CharStyle15"/>
          <w:lang w:val="en-US" w:eastAsia="en-US"/>
        </w:rPr>
        <w:t xml:space="preserve">№2571 </w:t>
      </w:r>
      <w:r>
        <w:rPr>
          <w:rStyle w:val="CharStyle15"/>
        </w:rPr>
        <w:t>являются правомерными и соответствуют положениям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720"/>
        <w:jc w:val="both"/>
      </w:pPr>
      <w:r>
        <w:rPr>
          <w:rStyle w:val="CharStyle15"/>
        </w:rPr>
        <w:t xml:space="preserve">На основании вышеизложенного, руководствуясь ст.ст. </w:t>
      </w:r>
      <w:r>
        <w:rPr>
          <w:rStyle w:val="CharStyle15"/>
          <w:lang w:val="en-US" w:eastAsia="en-US"/>
        </w:rPr>
        <w:t xml:space="preserve">99, 106 </w:t>
      </w:r>
      <w:r>
        <w:rPr>
          <w:rStyle w:val="CharStyle15"/>
        </w:rPr>
        <w:t>Закона о контрактной системе, Комиссия Воронежского УФАС России,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720"/>
        <w:jc w:val="both"/>
      </w:pPr>
      <w:r>
        <w:rPr>
          <w:rStyle w:val="CharStyle15"/>
        </w:rPr>
        <w:t>РЕШИЛА: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720"/>
        <w:jc w:val="both"/>
      </w:pPr>
      <w:r>
        <w:rPr>
          <w:rStyle w:val="CharStyle15"/>
        </w:rPr>
        <w:t xml:space="preserve">Признать жалобу ООО «МАГ+С» на действия администрации Репьёвского сельского поселения Репьёвского муниципального района Воронежской области при осуществлении закупки на проведение работ по разработке проектной документации по рекультивации несанкционированной свалки и ликвидации объекта накопленного вреда окружающей среде на земельном участке с кадастровым номером </w:t>
      </w:r>
      <w:r>
        <w:rPr>
          <w:rStyle w:val="CharStyle15"/>
          <w:lang w:val="en-US" w:eastAsia="en-US"/>
        </w:rPr>
        <w:t xml:space="preserve">36:26:4400012:158 </w:t>
      </w:r>
      <w:r>
        <w:rPr>
          <w:rStyle w:val="CharStyle15"/>
        </w:rPr>
        <w:t xml:space="preserve">(номер извещения: </w:t>
      </w:r>
      <w:r>
        <w:rPr>
          <w:rStyle w:val="CharStyle15"/>
          <w:lang w:val="en-US" w:eastAsia="en-US"/>
        </w:rPr>
        <w:t xml:space="preserve">0131300039526000020) </w:t>
      </w:r>
      <w:r>
        <w:rPr>
          <w:rStyle w:val="CharStyle15"/>
        </w:rPr>
        <w:t>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4" w:right="541" w:bottom="1201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5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976" w:left="0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left"/>
        <w:tblLayout w:type="fixed"/>
      </w:tblPr>
      <w:tblGrid>
        <w:gridCol w:w="3005"/>
        <w:gridCol w:w="3461"/>
      </w:tblGrid>
      <w:tr>
        <w:trPr>
          <w:trHeight w:val="67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framePr w:w="6466" w:h="4862" w:wrap="none" w:vAnchor="text" w:hAnchor="page" w:x="1162" w:y="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22"/>
                <w:sz w:val="28"/>
                <w:szCs w:val="28"/>
              </w:rPr>
              <w:t>Заместитель</w:t>
            </w:r>
          </w:p>
          <w:p>
            <w:pPr>
              <w:pStyle w:val="Style21"/>
              <w:keepNext w:val="0"/>
              <w:keepLines w:val="0"/>
              <w:framePr w:w="6466" w:h="4862" w:wrap="none" w:vAnchor="text" w:hAnchor="page" w:x="1162" w:y="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22"/>
                <w:sz w:val="28"/>
                <w:szCs w:val="28"/>
              </w:rPr>
              <w:t>председателя комиссии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framePr w:w="6466" w:h="4862" w:wrap="none" w:vAnchor="text" w:hAnchor="page" w:x="1162" w:y="92"/>
              <w:widowControl w:val="0"/>
              <w:shd w:val="clear" w:color="auto" w:fill="auto"/>
              <w:bidi w:val="0"/>
              <w:spacing w:before="0" w:after="0" w:line="240" w:lineRule="auto"/>
              <w:ind w:left="680" w:right="0" w:hanging="68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Georgia" w:eastAsia="Georgia" w:hAnsi="Georgia" w:cs="Georgia"/>
                <w:color w:val="292929"/>
                <w:sz w:val="11"/>
                <w:szCs w:val="11"/>
              </w:rPr>
              <w:t>я</w:t>
            </w:r>
            <w:r>
              <w:rPr>
                <w:rStyle w:val="CharStyle22"/>
                <w:rFonts w:ascii="Georgia" w:eastAsia="Georgia" w:hAnsi="Georgia" w:cs="Georgia"/>
                <w:color w:val="292929"/>
                <w:sz w:val="11"/>
                <w:szCs w:val="11"/>
                <w:u w:val="single"/>
              </w:rPr>
              <w:t>№вж</w:t>
            </w:r>
            <w:r>
              <w:rPr>
                <w:rStyle w:val="CharStyle22"/>
                <w:rFonts w:ascii="Georgia" w:eastAsia="Georgia" w:hAnsi="Georgia" w:cs="Georgia"/>
                <w:color w:val="292929"/>
                <w:sz w:val="11"/>
                <w:szCs w:val="11"/>
              </w:rPr>
              <w:t xml:space="preserve"> Подлинник электронного документа, подписанного</w:t>
            </w:r>
            <w:r>
              <w:rPr>
                <w:rStyle w:val="CharStyle22"/>
                <w:rFonts w:ascii="Georgia" w:eastAsia="Georgia" w:hAnsi="Georgia" w:cs="Georgia"/>
                <w:color w:val="292929"/>
                <w:sz w:val="11"/>
                <w:szCs w:val="11"/>
              </w:rPr>
              <w:t xml:space="preserve"> ЭП, хранится в системе электронного документооборота ФАС России</w:t>
            </w:r>
          </w:p>
        </w:tc>
      </w:tr>
      <w:tr>
        <w:trPr>
          <w:trHeight w:val="139" w:hRule="exact"/>
        </w:trPr>
        <w:tc>
          <w:tcPr>
            <w:tcBorders/>
            <w:shd w:val="clear" w:color="auto" w:fill="auto"/>
            <w:vAlign w:val="top"/>
          </w:tcPr>
          <w:p>
            <w:pPr>
              <w:framePr w:w="6466" w:h="4862" w:wrap="none" w:vAnchor="text" w:hAnchor="page" w:x="1162" w:y="9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000000"/>
            <w:vAlign w:val="top"/>
          </w:tcPr>
          <w:p>
            <w:pPr>
              <w:pStyle w:val="Style21"/>
              <w:keepNext w:val="0"/>
              <w:keepLines w:val="0"/>
              <w:framePr w:w="6466" w:h="4862" w:wrap="none" w:vAnchor="text" w:hAnchor="page" w:x="1162" w:y="92"/>
              <w:widowControl w:val="0"/>
              <w:pBdr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</w:pBdr>
              <w:shd w:val="clear" w:color="auto" w:fill="000000"/>
              <w:tabs>
                <w:tab w:pos="754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Arial" w:eastAsia="Arial" w:hAnsi="Arial" w:cs="Arial"/>
                <w:color w:val="FFFFFF"/>
                <w:sz w:val="11"/>
                <w:szCs w:val="11"/>
              </w:rPr>
              <w:t>1</w:t>
              <w:tab/>
              <w:t>СВЕДЕНИЯ О СЕРТИФИКАТЕ ЭП</w:t>
            </w:r>
          </w:p>
        </w:tc>
      </w:tr>
      <w:tr>
        <w:trPr>
          <w:trHeight w:val="629" w:hRule="exact"/>
        </w:trPr>
        <w:tc>
          <w:tcPr>
            <w:tcBorders/>
            <w:shd w:val="clear" w:color="auto" w:fill="auto"/>
            <w:vAlign w:val="top"/>
          </w:tcPr>
          <w:p>
            <w:pPr>
              <w:framePr w:w="6466" w:h="4862" w:wrap="none" w:vAnchor="text" w:hAnchor="page" w:x="1162" w:y="9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framePr w:w="6466" w:h="4862" w:wrap="none" w:vAnchor="text" w:hAnchor="page" w:x="1162" w:y="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Arial" w:eastAsia="Arial" w:hAnsi="Arial" w:cs="Arial"/>
                <w:color w:val="424242"/>
                <w:sz w:val="12"/>
                <w:szCs w:val="12"/>
              </w:rPr>
              <w:t xml:space="preserve">Кому выдан: </w:t>
            </w:r>
            <w:r>
              <w:rPr>
                <w:rStyle w:val="CharStyle22"/>
                <w:rFonts w:ascii="Arial" w:eastAsia="Arial" w:hAnsi="Arial" w:cs="Arial"/>
                <w:sz w:val="11"/>
                <w:szCs w:val="11"/>
              </w:rPr>
              <w:t>Рощупкина Юлия Вениаминовна</w:t>
            </w:r>
          </w:p>
          <w:p>
            <w:pPr>
              <w:pStyle w:val="Style21"/>
              <w:keepNext w:val="0"/>
              <w:keepLines w:val="0"/>
              <w:framePr w:w="6466" w:h="4862" w:wrap="none" w:vAnchor="text" w:hAnchor="page" w:x="1162" w:y="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2"/>
                <w:rFonts w:ascii="Arial" w:eastAsia="Arial" w:hAnsi="Arial" w:cs="Arial"/>
                <w:color w:val="424242"/>
                <w:sz w:val="12"/>
                <w:szCs w:val="12"/>
              </w:rPr>
              <w:t xml:space="preserve">Сертификат </w:t>
            </w:r>
            <w:r>
              <w:rPr>
                <w:rStyle w:val="CharStyle22"/>
                <w:rFonts w:ascii="Arial" w:eastAsia="Arial" w:hAnsi="Arial" w:cs="Arial"/>
                <w:color w:val="292929"/>
                <w:sz w:val="12"/>
                <w:szCs w:val="12"/>
              </w:rPr>
              <w:t xml:space="preserve">№ </w:t>
            </w:r>
            <w:r>
              <w:rPr>
                <w:rStyle w:val="CharStyle22"/>
                <w:rFonts w:ascii="Arial" w:eastAsia="Arial" w:hAnsi="Arial" w:cs="Arial"/>
                <w:color w:val="424242"/>
                <w:sz w:val="12"/>
                <w:szCs w:val="12"/>
                <w:lang w:val="en-US" w:eastAsia="en-US"/>
              </w:rPr>
              <w:t>00AF4D3D160B60C8EFFA4933C71</w:t>
            </w:r>
            <w:r>
              <w:rPr>
                <w:rStyle w:val="CharStyle22"/>
                <w:rFonts w:ascii="Arial" w:eastAsia="Arial" w:hAnsi="Arial" w:cs="Arial"/>
                <w:color w:val="424242"/>
                <w:sz w:val="12"/>
                <w:szCs w:val="12"/>
              </w:rPr>
              <w:t>1509056</w:t>
            </w:r>
          </w:p>
          <w:p>
            <w:pPr>
              <w:pStyle w:val="Style21"/>
              <w:keepNext w:val="0"/>
              <w:keepLines w:val="0"/>
              <w:framePr w:w="6466" w:h="4862" w:wrap="none" w:vAnchor="text" w:hAnchor="page" w:x="1162" w:y="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2"/>
                <w:rFonts w:ascii="Arial" w:eastAsia="Arial" w:hAnsi="Arial" w:cs="Arial"/>
                <w:color w:val="424242"/>
                <w:sz w:val="12"/>
                <w:szCs w:val="12"/>
              </w:rPr>
              <w:t xml:space="preserve">Действителен с 17.04.2026 </w:t>
            </w:r>
            <w:r>
              <w:rPr>
                <w:rStyle w:val="CharStyle22"/>
                <w:rFonts w:ascii="Arial" w:eastAsia="Arial" w:hAnsi="Arial" w:cs="Arial"/>
                <w:color w:val="5C5C5C"/>
                <w:sz w:val="12"/>
                <w:szCs w:val="12"/>
              </w:rPr>
              <w:t xml:space="preserve">по </w:t>
            </w:r>
            <w:r>
              <w:rPr>
                <w:rStyle w:val="CharStyle22"/>
                <w:rFonts w:ascii="Arial" w:eastAsia="Arial" w:hAnsi="Arial" w:cs="Arial"/>
                <w:color w:val="818181"/>
                <w:sz w:val="12"/>
                <w:szCs w:val="12"/>
              </w:rPr>
              <w:t>1</w:t>
            </w:r>
            <w:r>
              <w:rPr>
                <w:rStyle w:val="CharStyle22"/>
                <w:rFonts w:ascii="Arial" w:eastAsia="Arial" w:hAnsi="Arial" w:cs="Arial"/>
                <w:color w:val="424242"/>
                <w:sz w:val="12"/>
                <w:szCs w:val="12"/>
              </w:rPr>
              <w:t>1.07.2027</w:t>
            </w:r>
          </w:p>
        </w:tc>
      </w:tr>
      <w:tr>
        <w:trPr>
          <w:trHeight w:val="298" w:hRule="exact"/>
        </w:trPr>
        <w:tc>
          <w:tcPr>
            <w:vMerge w:val="restart"/>
            <w:tcBorders/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framePr w:w="6466" w:h="4862" w:wrap="none" w:vAnchor="text" w:hAnchor="page" w:x="1162" w:y="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22"/>
                <w:sz w:val="28"/>
                <w:szCs w:val="28"/>
              </w:rPr>
              <w:t>Член комиссии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framePr w:w="6466" w:h="4862" w:wrap="none" w:vAnchor="text" w:hAnchor="page" w:x="1162" w:y="9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62" w:hRule="exact"/>
        </w:trPr>
        <w:tc>
          <w:tcPr>
            <w:vMerge/>
            <w:tcBorders/>
            <w:shd w:val="clear" w:color="auto" w:fill="auto"/>
            <w:vAlign w:val="center"/>
          </w:tcPr>
          <w:p>
            <w:pPr>
              <w:framePr w:w="6466" w:h="4862" w:wrap="none" w:vAnchor="text" w:hAnchor="page" w:x="1162" w:y="92"/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framePr w:w="6466" w:h="4862" w:wrap="none" w:vAnchor="text" w:hAnchor="page" w:x="1162" w:y="92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2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Georgia" w:eastAsia="Georgia" w:hAnsi="Georgia" w:cs="Georgia"/>
                <w:color w:val="292929"/>
                <w:sz w:val="11"/>
                <w:szCs w:val="11"/>
              </w:rPr>
              <w:t>Подлинник электронного документа, подписанного ЭП, хранится в системе электронного документооборота ФАС России</w:t>
            </w:r>
          </w:p>
        </w:tc>
      </w:tr>
      <w:tr>
        <w:trPr>
          <w:trHeight w:val="139" w:hRule="exact"/>
        </w:trPr>
        <w:tc>
          <w:tcPr>
            <w:tcBorders/>
            <w:shd w:val="clear" w:color="auto" w:fill="auto"/>
            <w:vAlign w:val="top"/>
          </w:tcPr>
          <w:p>
            <w:pPr>
              <w:framePr w:w="6466" w:h="4862" w:wrap="none" w:vAnchor="text" w:hAnchor="page" w:x="1162" w:y="9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000000"/>
            <w:vAlign w:val="top"/>
          </w:tcPr>
          <w:p>
            <w:pPr>
              <w:pStyle w:val="Style21"/>
              <w:keepNext w:val="0"/>
              <w:keepLines w:val="0"/>
              <w:framePr w:w="6466" w:h="4862" w:wrap="none" w:vAnchor="text" w:hAnchor="page" w:x="1162" w:y="92"/>
              <w:widowControl w:val="0"/>
              <w:pBdr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</w:pBdr>
              <w:shd w:val="clear" w:color="auto" w:fill="000000"/>
              <w:tabs>
                <w:tab w:pos="754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Arial" w:eastAsia="Arial" w:hAnsi="Arial" w:cs="Arial"/>
                <w:color w:val="FFFFFF"/>
                <w:sz w:val="11"/>
                <w:szCs w:val="11"/>
              </w:rPr>
              <w:t>1</w:t>
              <w:tab/>
              <w:t>СВЕДЕНИЯ О СЕРТИФИКАТЕ ЭП</w:t>
            </w:r>
          </w:p>
        </w:tc>
      </w:tr>
      <w:tr>
        <w:trPr>
          <w:trHeight w:val="629" w:hRule="exact"/>
        </w:trPr>
        <w:tc>
          <w:tcPr>
            <w:tcBorders/>
            <w:shd w:val="clear" w:color="auto" w:fill="auto"/>
            <w:vAlign w:val="top"/>
          </w:tcPr>
          <w:p>
            <w:pPr>
              <w:framePr w:w="6466" w:h="4862" w:wrap="none" w:vAnchor="text" w:hAnchor="page" w:x="1162" w:y="9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framePr w:w="6466" w:h="4862" w:wrap="none" w:vAnchor="text" w:hAnchor="page" w:x="1162" w:y="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Arial" w:eastAsia="Arial" w:hAnsi="Arial" w:cs="Arial"/>
                <w:color w:val="424242"/>
                <w:sz w:val="12"/>
                <w:szCs w:val="12"/>
              </w:rPr>
              <w:t xml:space="preserve">Кому выдан: </w:t>
            </w:r>
            <w:r>
              <w:rPr>
                <w:rStyle w:val="CharStyle22"/>
                <w:rFonts w:ascii="Arial" w:eastAsia="Arial" w:hAnsi="Arial" w:cs="Arial"/>
                <w:sz w:val="11"/>
                <w:szCs w:val="11"/>
              </w:rPr>
              <w:t>ГОРЕЛОВА ЮЛИЯ МИХАЙЛОВНА</w:t>
            </w:r>
          </w:p>
          <w:p>
            <w:pPr>
              <w:pStyle w:val="Style21"/>
              <w:keepNext w:val="0"/>
              <w:keepLines w:val="0"/>
              <w:framePr w:w="6466" w:h="4862" w:wrap="none" w:vAnchor="text" w:hAnchor="page" w:x="1162" w:y="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2"/>
                <w:rFonts w:ascii="Arial" w:eastAsia="Arial" w:hAnsi="Arial" w:cs="Arial"/>
                <w:color w:val="424242"/>
                <w:sz w:val="12"/>
                <w:szCs w:val="12"/>
              </w:rPr>
              <w:t xml:space="preserve">Сертификат </w:t>
            </w:r>
            <w:r>
              <w:rPr>
                <w:rStyle w:val="CharStyle22"/>
                <w:rFonts w:ascii="Arial" w:eastAsia="Arial" w:hAnsi="Arial" w:cs="Arial"/>
                <w:color w:val="292929"/>
                <w:sz w:val="12"/>
                <w:szCs w:val="12"/>
              </w:rPr>
              <w:t xml:space="preserve">№ </w:t>
            </w:r>
            <w:r>
              <w:rPr>
                <w:rStyle w:val="CharStyle22"/>
                <w:rFonts w:ascii="Arial" w:eastAsia="Arial" w:hAnsi="Arial" w:cs="Arial"/>
                <w:color w:val="424242"/>
                <w:sz w:val="12"/>
                <w:szCs w:val="12"/>
                <w:lang w:val="en-US" w:eastAsia="en-US"/>
              </w:rPr>
              <w:t>00FF7542F1CF520D7ED33CCA8883500081</w:t>
            </w:r>
          </w:p>
          <w:p>
            <w:pPr>
              <w:pStyle w:val="Style21"/>
              <w:keepNext w:val="0"/>
              <w:keepLines w:val="0"/>
              <w:framePr w:w="6466" w:h="4862" w:wrap="none" w:vAnchor="text" w:hAnchor="page" w:x="1162" w:y="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2"/>
                <w:rFonts w:ascii="Arial" w:eastAsia="Arial" w:hAnsi="Arial" w:cs="Arial"/>
                <w:color w:val="424242"/>
                <w:sz w:val="12"/>
                <w:szCs w:val="12"/>
              </w:rPr>
              <w:t>Действителен с 21.04.2026 по 15.07.2027</w:t>
            </w:r>
          </w:p>
        </w:tc>
      </w:tr>
      <w:tr>
        <w:trPr>
          <w:trHeight w:val="326" w:hRule="exact"/>
        </w:trPr>
        <w:tc>
          <w:tcPr>
            <w:vMerge w:val="restart"/>
            <w:tcBorders/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framePr w:w="6466" w:h="4862" w:wrap="none" w:vAnchor="text" w:hAnchor="page" w:x="1162" w:y="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22"/>
                <w:sz w:val="28"/>
                <w:szCs w:val="28"/>
              </w:rPr>
              <w:t>Член комиссии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framePr w:w="6466" w:h="4862" w:wrap="none" w:vAnchor="text" w:hAnchor="page" w:x="1162" w:y="9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62" w:hRule="exact"/>
        </w:trPr>
        <w:tc>
          <w:tcPr>
            <w:vMerge/>
            <w:tcBorders/>
            <w:shd w:val="clear" w:color="auto" w:fill="auto"/>
            <w:vAlign w:val="center"/>
          </w:tcPr>
          <w:p>
            <w:pPr>
              <w:framePr w:w="6466" w:h="4862" w:wrap="none" w:vAnchor="text" w:hAnchor="page" w:x="1162" w:y="92"/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framePr w:w="6466" w:h="4862" w:wrap="none" w:vAnchor="text" w:hAnchor="page" w:x="1162" w:y="92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Georgia" w:eastAsia="Georgia" w:hAnsi="Georgia" w:cs="Georgia"/>
                <w:color w:val="292929"/>
                <w:sz w:val="11"/>
                <w:szCs w:val="11"/>
              </w:rPr>
              <w:t>Подлинник электронного документа, подписанного ЭП, хранится в системе электронного</w:t>
            </w:r>
          </w:p>
          <w:p>
            <w:pPr>
              <w:pStyle w:val="Style21"/>
              <w:keepNext w:val="0"/>
              <w:keepLines w:val="0"/>
              <w:framePr w:w="6466" w:h="4862" w:wrap="none" w:vAnchor="text" w:hAnchor="page" w:x="1162" w:y="92"/>
              <w:widowControl w:val="0"/>
              <w:shd w:val="clear" w:color="auto" w:fill="auto"/>
              <w:tabs>
                <w:tab w:pos="514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Arial" w:eastAsia="Arial" w:hAnsi="Arial" w:cs="Arial"/>
                <w:color w:val="292929"/>
                <w:sz w:val="11"/>
                <w:szCs w:val="11"/>
              </w:rPr>
              <w:t>К</w:t>
              <w:tab/>
            </w:r>
            <w:r>
              <w:rPr>
                <w:rStyle w:val="CharStyle22"/>
                <w:rFonts w:ascii="Georgia" w:eastAsia="Georgia" w:hAnsi="Georgia" w:cs="Georgia"/>
                <w:color w:val="292929"/>
                <w:sz w:val="11"/>
                <w:szCs w:val="11"/>
              </w:rPr>
              <w:t>документооборота ФАС России</w:t>
            </w:r>
          </w:p>
        </w:tc>
      </w:tr>
      <w:tr>
        <w:trPr>
          <w:trHeight w:val="139" w:hRule="exact"/>
        </w:trPr>
        <w:tc>
          <w:tcPr>
            <w:tcBorders/>
            <w:shd w:val="clear" w:color="auto" w:fill="auto"/>
            <w:vAlign w:val="top"/>
          </w:tcPr>
          <w:p>
            <w:pPr>
              <w:framePr w:w="6466" w:h="4862" w:wrap="none" w:vAnchor="text" w:hAnchor="page" w:x="1162" w:y="9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000000"/>
            <w:vAlign w:val="top"/>
          </w:tcPr>
          <w:p>
            <w:pPr>
              <w:pStyle w:val="Style21"/>
              <w:keepNext w:val="0"/>
              <w:keepLines w:val="0"/>
              <w:framePr w:w="6466" w:h="4862" w:wrap="none" w:vAnchor="text" w:hAnchor="page" w:x="1162" w:y="92"/>
              <w:widowControl w:val="0"/>
              <w:pBdr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</w:pBdr>
              <w:shd w:val="clear" w:color="auto" w:fill="000000"/>
              <w:tabs>
                <w:tab w:pos="3320" w:val="left"/>
              </w:tabs>
              <w:bidi w:val="0"/>
              <w:spacing w:before="0" w:after="0" w:line="240" w:lineRule="auto"/>
              <w:ind w:left="0" w:right="0" w:firstLine="68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Arial" w:eastAsia="Arial" w:hAnsi="Arial" w:cs="Arial"/>
                <w:color w:val="FFFFFF"/>
                <w:sz w:val="11"/>
                <w:szCs w:val="11"/>
              </w:rPr>
              <w:t>СВЕДЕНИЯ О СЕРТИФИКАТЕ ЭП</w:t>
              <w:tab/>
              <w:t>1</w:t>
            </w:r>
          </w:p>
        </w:tc>
      </w:tr>
      <w:tr>
        <w:trPr>
          <w:trHeight w:val="562" w:hRule="exact"/>
        </w:trPr>
        <w:tc>
          <w:tcPr>
            <w:tcBorders/>
            <w:shd w:val="clear" w:color="auto" w:fill="auto"/>
            <w:vAlign w:val="top"/>
          </w:tcPr>
          <w:p>
            <w:pPr>
              <w:framePr w:w="6466" w:h="4862" w:wrap="none" w:vAnchor="text" w:hAnchor="page" w:x="1162" w:y="9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framePr w:w="6466" w:h="4862" w:wrap="none" w:vAnchor="text" w:hAnchor="page" w:x="1162" w:y="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22"/>
                <w:rFonts w:ascii="Arial" w:eastAsia="Arial" w:hAnsi="Arial" w:cs="Arial"/>
                <w:color w:val="424242"/>
                <w:sz w:val="12"/>
                <w:szCs w:val="12"/>
              </w:rPr>
              <w:t xml:space="preserve">Кому выдан: </w:t>
            </w:r>
            <w:r>
              <w:rPr>
                <w:rStyle w:val="CharStyle22"/>
                <w:rFonts w:ascii="Arial" w:eastAsia="Arial" w:hAnsi="Arial" w:cs="Arial"/>
                <w:sz w:val="11"/>
                <w:szCs w:val="11"/>
              </w:rPr>
              <w:t>Башкирова Анастасия Романовна</w:t>
            </w:r>
          </w:p>
          <w:p>
            <w:pPr>
              <w:pStyle w:val="Style21"/>
              <w:keepNext w:val="0"/>
              <w:keepLines w:val="0"/>
              <w:framePr w:w="6466" w:h="4862" w:wrap="none" w:vAnchor="text" w:hAnchor="page" w:x="1162" w:y="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2"/>
                <w:rFonts w:ascii="Arial" w:eastAsia="Arial" w:hAnsi="Arial" w:cs="Arial"/>
                <w:color w:val="424242"/>
                <w:sz w:val="12"/>
                <w:szCs w:val="12"/>
              </w:rPr>
              <w:t xml:space="preserve">Сертификат </w:t>
            </w:r>
            <w:r>
              <w:rPr>
                <w:rStyle w:val="CharStyle22"/>
                <w:rFonts w:ascii="Arial" w:eastAsia="Arial" w:hAnsi="Arial" w:cs="Arial"/>
                <w:color w:val="292929"/>
                <w:sz w:val="12"/>
                <w:szCs w:val="12"/>
              </w:rPr>
              <w:t xml:space="preserve">№ </w:t>
            </w:r>
            <w:r>
              <w:rPr>
                <w:rStyle w:val="CharStyle22"/>
                <w:rFonts w:ascii="Arial" w:eastAsia="Arial" w:hAnsi="Arial" w:cs="Arial"/>
                <w:color w:val="424242"/>
                <w:sz w:val="12"/>
                <w:szCs w:val="12"/>
                <w:lang w:val="en-US" w:eastAsia="en-US"/>
              </w:rPr>
              <w:t>4FE3D4FC6DEBD554A3AED345029FF022</w:t>
            </w:r>
          </w:p>
          <w:p>
            <w:pPr>
              <w:pStyle w:val="Style21"/>
              <w:keepNext w:val="0"/>
              <w:keepLines w:val="0"/>
              <w:framePr w:w="6466" w:h="4862" w:wrap="none" w:vAnchor="text" w:hAnchor="page" w:x="1162" w:y="9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2"/>
                <w:rFonts w:ascii="Arial" w:eastAsia="Arial" w:hAnsi="Arial" w:cs="Arial"/>
                <w:color w:val="424242"/>
                <w:sz w:val="12"/>
                <w:szCs w:val="12"/>
              </w:rPr>
              <w:t xml:space="preserve">Действителен с </w:t>
            </w:r>
            <w:r>
              <w:rPr>
                <w:rStyle w:val="CharStyle22"/>
                <w:rFonts w:ascii="Arial" w:eastAsia="Arial" w:hAnsi="Arial" w:cs="Arial"/>
                <w:color w:val="5C5C5C"/>
                <w:sz w:val="12"/>
                <w:szCs w:val="12"/>
              </w:rPr>
              <w:t>21</w:t>
            </w:r>
            <w:r>
              <w:rPr>
                <w:rStyle w:val="CharStyle22"/>
                <w:rFonts w:ascii="Arial" w:eastAsia="Arial" w:hAnsi="Arial" w:cs="Arial"/>
                <w:color w:val="424242"/>
                <w:sz w:val="12"/>
                <w:szCs w:val="12"/>
              </w:rPr>
              <w:t xml:space="preserve">.04.2026 </w:t>
            </w:r>
            <w:r>
              <w:rPr>
                <w:rStyle w:val="CharStyle22"/>
                <w:rFonts w:ascii="Arial" w:eastAsia="Arial" w:hAnsi="Arial" w:cs="Arial"/>
                <w:color w:val="5C5C5C"/>
                <w:sz w:val="12"/>
                <w:szCs w:val="12"/>
              </w:rPr>
              <w:t>по 1</w:t>
            </w:r>
            <w:r>
              <w:rPr>
                <w:rStyle w:val="CharStyle22"/>
                <w:rFonts w:ascii="Arial" w:eastAsia="Arial" w:hAnsi="Arial" w:cs="Arial"/>
                <w:color w:val="424242"/>
                <w:sz w:val="12"/>
                <w:szCs w:val="12"/>
              </w:rPr>
              <w:t>5.07.2027</w:t>
            </w:r>
          </w:p>
        </w:tc>
      </w:tr>
    </w:tbl>
    <w:p>
      <w:pPr>
        <w:framePr w:w="6466" w:h="4862" w:wrap="none" w:vAnchor="text" w:hAnchor="page" w:x="1162" w:y="92"/>
        <w:widowControl w:val="0"/>
        <w:spacing w:line="1" w:lineRule="exact"/>
      </w:pPr>
    </w:p>
    <w:p>
      <w:pPr>
        <w:pStyle w:val="Style14"/>
        <w:keepNext w:val="0"/>
        <w:keepLines w:val="0"/>
        <w:framePr w:w="2088" w:h="398" w:wrap="none" w:vAnchor="text" w:hAnchor="page" w:x="923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>Ю.В. Рощупкина</w:t>
      </w:r>
    </w:p>
    <w:p>
      <w:pPr>
        <w:pStyle w:val="Style14"/>
        <w:keepNext w:val="0"/>
        <w:keepLines w:val="0"/>
        <w:framePr w:w="1867" w:h="398" w:wrap="none" w:vAnchor="text" w:hAnchor="page" w:x="9457" w:y="1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>Ю.М. Горелова</w:t>
      </w:r>
    </w:p>
    <w:p>
      <w:pPr>
        <w:pStyle w:val="Style14"/>
        <w:keepNext w:val="0"/>
        <w:keepLines w:val="0"/>
        <w:framePr w:w="1906" w:h="394" w:wrap="none" w:vAnchor="text" w:hAnchor="page" w:x="9423" w:y="3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>А.Р. Башкирова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33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0" w:bottom="97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9993630</wp:posOffset>
              </wp:positionV>
              <wp:extent cx="643255" cy="1098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2026-2994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pt;margin-top:786.89999999999998pt;width:50.649999999999999pt;height:8.6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2026-2994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43255" cy="10985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2026-2994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70000000000005pt;width:50.649999999999999pt;height:8.65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2026-2994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9D"/>
      <w:sz w:val="19"/>
      <w:szCs w:val="19"/>
      <w:u w:val="none"/>
    </w:rPr>
  </w:style>
  <w:style w:type="character" w:customStyle="1" w:styleId="CharStyle10">
    <w:name w:val="Heading #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 (3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2">
    <w:name w:val="Other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18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9D"/>
      <w:sz w:val="19"/>
      <w:szCs w:val="19"/>
      <w:u w:val="none"/>
    </w:rPr>
  </w:style>
  <w:style w:type="paragraph" w:customStyle="1" w:styleId="Style9">
    <w:name w:val="Heading #2"/>
    <w:basedOn w:val="Normal"/>
    <w:link w:val="CharStyle10"/>
    <w:pPr>
      <w:widowControl w:val="0"/>
      <w:shd w:val="clear" w:color="auto" w:fill="auto"/>
      <w:spacing w:after="320"/>
      <w:ind w:firstLine="1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Body text (3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spacing w:line="360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4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1">
    <w:name w:val="Other"/>
    <w:basedOn w:val="Normal"/>
    <w:link w:val="CharStyle22"/>
    <w:pPr>
      <w:widowControl w:val="0"/>
      <w:shd w:val="clear" w:color="auto" w:fill="auto"/>
      <w:spacing w:line="360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