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6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leader="underscore" w:pos="1766" w:val="left"/>
          <w:tab w:leader="underscore" w:pos="3926" w:val="left"/>
        </w:tabs>
        <w:bidi w:val="0"/>
        <w:spacing w:before="0" w:after="260" w:line="240" w:lineRule="auto"/>
        <w:ind w:left="0" w:right="0" w:firstLine="0"/>
        <w:jc w:val="both"/>
      </w:pPr>
      <w:r>
        <w:rPr>
          <w:rStyle w:val="CharStyle6"/>
        </w:rPr>
        <w:tab/>
        <w:t xml:space="preserve"> №</w:t>
        <w:tab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</w:rPr>
        <w:t xml:space="preserve">На№  от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0"/>
        </w:rPr>
        <w:t xml:space="preserve">ГБУЗ «ГКБ им. В.М. Буянова ДЗМ» </w:t>
      </w:r>
      <w:r>
        <w:fldChar w:fldCharType="begin"/>
      </w:r>
      <w:r>
        <w:rPr/>
        <w:instrText> HYPERLINK "mailto:dogovor@gkb12mos.ru" </w:instrText>
      </w:r>
      <w:r>
        <w:fldChar w:fldCharType="separate"/>
      </w:r>
      <w:r>
        <w:rPr>
          <w:rStyle w:val="CharStyle10"/>
          <w:lang w:val="en-US" w:eastAsia="en-US"/>
        </w:rPr>
        <w:t>dogovor@gkb12mos.ru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ИП Шлейко Л.Г.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4" w:right="1146" w:bottom="708" w:left="1135" w:header="0" w:footer="3" w:gutter="0"/>
          <w:pgNumType w:start="1"/>
          <w:cols w:num="2" w:space="922"/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"mailto:iCool1967@mail.ru" </w:instrText>
      </w:r>
      <w:r>
        <w:fldChar w:fldCharType="separate"/>
      </w:r>
      <w:r>
        <w:rPr>
          <w:rStyle w:val="CharStyle10"/>
          <w:lang w:val="en-US" w:eastAsia="en-US"/>
        </w:rPr>
        <w:t>iCool1967@mail.ru</w:t>
      </w:r>
      <w:r>
        <w:fldChar w:fldCharType="end"/>
      </w:r>
    </w:p>
    <w:p>
      <w:pPr>
        <w:widowControl w:val="0"/>
        <w:spacing w:before="79" w:after="7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4" w:right="0" w:bottom="655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after="335" w:line="1" w:lineRule="exact"/>
      </w:pPr>
      <w:r>
        <w:drawing>
          <wp:anchor distT="0" distB="0" distL="0" distR="0" simplePos="0" relativeHeight="62914694" behindDoc="1" locked="0" layoutInCell="1" allowOverlap="1">
            <wp:simplePos x="0" y="0"/>
            <wp:positionH relativeFrom="page">
              <wp:posOffset>708660</wp:posOffset>
            </wp:positionH>
            <wp:positionV relativeFrom="paragraph">
              <wp:posOffset>12700</wp:posOffset>
            </wp:positionV>
            <wp:extent cx="219710" cy="213360"/>
            <wp:wrapNone/>
            <wp:docPr id="6" name="Shap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box 7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19710" cy="21336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5" behindDoc="1" locked="0" layoutInCell="1" allowOverlap="1">
            <wp:simplePos x="0" y="0"/>
            <wp:positionH relativeFrom="page">
              <wp:posOffset>3122295</wp:posOffset>
            </wp:positionH>
            <wp:positionV relativeFrom="paragraph">
              <wp:posOffset>12700</wp:posOffset>
            </wp:positionV>
            <wp:extent cx="219710" cy="213360"/>
            <wp:wrapNone/>
            <wp:docPr id="8" name="Shap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19710" cy="21336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4" w:right="536" w:bottom="655" w:left="1106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69" w:lineRule="exact"/>
        <w:rPr>
          <w:sz w:val="6"/>
          <w:szCs w:val="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62" w:right="0" w:bottom="53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0"/>
          <w:b/>
          <w:bCs/>
        </w:rPr>
        <w:t>РЕШЕНИЕ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8952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rStyle w:val="CharStyle10"/>
          <w:b/>
          <w:bCs/>
        </w:rPr>
        <w:t>по делу №077/06/105-5537/2026 о нарушении</w:t>
        <w:br/>
        <w:t>законодательства о контрактной системе</w:t>
        <w:br/>
        <w:t>04.05.2026</w:t>
        <w:tab/>
        <w:t>г. Москва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Комиссия по контролю в сфере закупок товаров, работ, услуг Управления Федеральной антимонопольной службы по г. Москве (далее – 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Председательствующего - главного государственного инспектора отдела обжалования государственных закупок А.А. Кутейникова,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Главного государственного инспектора отдела обжалования государственных закупок А.А. Матюшенко,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Главного специалиста-эксперта отдела обжалования государственных закупок М.О. Мацневой,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рассмотрение жалобы проводилось дистанционно (посредством видео-конференц-связи),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при участии представителя ГБУЗ «ГКБ им. В.М. Буянова ДЗМ»: Т.С. Земцовой (по доверенности № б/н от 04.07.2025);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в отсутствии представителей ИП Шлейко Л.Г., о времени и порядке заседания Комиссии Управления уведомленных надлежащим образом посредством размещения информации в Единой информационной системе,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рассмотрев жалобу ИП Шлейко Л.Г. (далее — Заявитель) на действия ГБУЗ «ГКБ им. В.М. Буянова ДЗМ» (далее — Заказчик) при проведении запроса котировок в электронной форме на право заключения государственного контракта на поставку мобильного кондиционера для ГБУЗ «ГКБ имени В.М. Буянова ДЗМ» (Закупка№ 0373200052726000334) (далее — запрос котировок),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— Закон о контрактной системе),</w:t>
      </w:r>
    </w:p>
    <w:p>
      <w:pPr>
        <w:widowControl w:val="0"/>
        <w:spacing w:line="1" w:lineRule="exact"/>
      </w:pPr>
      <w:r>
        <w:drawing>
          <wp:anchor distT="63500" distB="0" distL="0" distR="0" simplePos="0" relativeHeight="125829378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63500</wp:posOffset>
            </wp:positionV>
            <wp:extent cx="1511935" cy="292735"/>
            <wp:wrapTopAndBottom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0"/>
          <w:b/>
          <w:bCs/>
        </w:rPr>
        <w:t>УСТАНОВИЛА: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В Московское УФАС России поступила жалоба Заявителя на действия Заказчика при проведении вышеуказанного запроса котировок.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По результатам рассмотрения жалобы,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Заявитель обжалует действия Заказчика, выразившиеся в утверждении положений извещения в нарушение законодательства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Согласно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В соответствии с п.1 ч.1 ст.33 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сопровождение такого указания словами «или эквивалент»;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00"/>
        <w:jc w:val="both"/>
        <w:rPr>
          <w:sz w:val="24"/>
          <w:szCs w:val="24"/>
        </w:rPr>
      </w:pPr>
      <w:r>
        <w:rPr>
          <w:rStyle w:val="CharStyle10"/>
        </w:rPr>
        <w:t xml:space="preserve">Таким образом, ст.33 Закона о контрактной систем содержит в себе закрытый перечень случаев, когда Заказчик вправе закупать товары конкретного производителя (пп. «б»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 xml:space="preserve">«г» п.1 ч.1 ст.33 Закона о контрактной системе), во всех остальных случаях, совокупности всех требований извещения, в том числе и всем требованиям описания объекта закупки, должны соответствовать товары как </w:t>
      </w:r>
      <w:r>
        <w:rPr>
          <w:rStyle w:val="CharStyle10"/>
          <w:sz w:val="24"/>
          <w:szCs w:val="24"/>
          <w:lang w:val="en-US" w:eastAsia="en-US"/>
        </w:rPr>
        <w:t>2026-22404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>минимум двух различных производителей.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Согласно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3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  <w:lang w:val="en-US" w:eastAsia="en-US"/>
        </w:rPr>
        <w:t xml:space="preserve">. </w:t>
      </w:r>
      <w:r>
        <w:rPr>
          <w:rStyle w:val="CharStyle10"/>
        </w:rPr>
        <w:t xml:space="preserve">Согласно доводам жалобы в нарушение ст.33 Закона о контрактной системе совокупности установленных требований к характеристикам описания объектов закупки «Кондиционер бытовой» позиция КТРУ </w:t>
      </w:r>
      <w:r>
        <w:rPr>
          <w:rStyle w:val="CharStyle10"/>
          <w:lang w:val="en-US" w:eastAsia="en-US"/>
        </w:rPr>
        <w:t xml:space="preserve">28.25.12.130-00000020 </w:t>
      </w:r>
      <w:r>
        <w:rPr>
          <w:rStyle w:val="CharStyle10"/>
        </w:rPr>
        <w:t xml:space="preserve">соответствует одна моделей кондиционеров </w:t>
      </w:r>
      <w:r>
        <w:rPr>
          <w:rStyle w:val="CharStyle10"/>
          <w:lang w:val="en-US" w:eastAsia="en-US"/>
        </w:rPr>
        <w:t>Ballu.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На заседании Комиссии Управления представитель Заказчика пояснил, что описанию объекта закупки соответствуют кондиционеры производителей </w:t>
      </w:r>
      <w:r>
        <w:rPr>
          <w:rStyle w:val="CharStyle10"/>
          <w:lang w:val="en-US" w:eastAsia="en-US"/>
        </w:rPr>
        <w:t xml:space="preserve">Royal Clima RM-L60CN-E </w:t>
      </w:r>
      <w:r>
        <w:rPr>
          <w:rStyle w:val="CharStyle10"/>
        </w:rPr>
        <w:t xml:space="preserve">и </w:t>
      </w:r>
      <w:r>
        <w:rPr>
          <w:rStyle w:val="CharStyle10"/>
          <w:lang w:val="en-US" w:eastAsia="en-US"/>
        </w:rPr>
        <w:t>Ballu.Royal Clima RM-L60CN-E.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При этом в обоснование своей позиции представителем Заказчика представлено коммерческое предложение </w:t>
      </w:r>
      <w:r>
        <w:rPr>
          <w:rStyle w:val="CharStyle10"/>
          <w:lang w:val="en-US" w:eastAsia="en-US"/>
        </w:rPr>
        <w:t xml:space="preserve">(№ </w:t>
      </w:r>
      <w:r>
        <w:rPr>
          <w:rStyle w:val="CharStyle10"/>
        </w:rPr>
        <w:t xml:space="preserve">б/н от </w:t>
      </w:r>
      <w:r>
        <w:rPr>
          <w:rStyle w:val="CharStyle10"/>
          <w:lang w:val="en-US" w:eastAsia="en-US"/>
        </w:rPr>
        <w:t xml:space="preserve">22.04.2026) </w:t>
      </w:r>
      <w:r>
        <w:rPr>
          <w:rStyle w:val="CharStyle10"/>
        </w:rPr>
        <w:t xml:space="preserve">на поставку Мобильного кондиционера </w:t>
      </w:r>
      <w:r>
        <w:rPr>
          <w:rStyle w:val="CharStyle10"/>
          <w:lang w:val="en-US" w:eastAsia="en-US"/>
        </w:rPr>
        <w:t>ROYAL Clima.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Комиссия Управления отмечает, что ст.33 Закона о контрактной системе содержит в себе закрытый перечень случаев, когда Заказчик в праве закупать товары конкретного производителя (пп.«б»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>«г» п.1 ч.1 ст.33 Закона о контрактной системе), во всех остальных случаях, совокупности всех требований извещения, в том числе и всем требованиям описания объекта закупки, должны соответствовать товары как минимум двух различных производителей.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Вместе с тем обязанность по формированию описания объекта закупки в соответствии с положениями ст.33 Закона о контрактной системе возложена на Заказчика, следовательно, именно Заказчик при формировании извещения об осуществлении закупочной процедуры должен обладать документальным подтверждением соответствия описания объекта закупки требованиям действующего законодательства.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При этом в рамках рассмотрения данной жалобы представителем Заказчика указано на соответствие товаров как минимум двух изделий различных производителей, что удовлетворяет условиям п.1 ч.1 ст.33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На основании ч. </w:t>
      </w:r>
      <w:r>
        <w:rPr>
          <w:rStyle w:val="CharStyle10"/>
          <w:lang w:val="en-US" w:eastAsia="en-US"/>
        </w:rPr>
        <w:t xml:space="preserve">4 </w:t>
      </w:r>
      <w:r>
        <w:rPr>
          <w:rStyle w:val="CharStyle10"/>
        </w:rPr>
        <w:t xml:space="preserve">ст. </w:t>
      </w:r>
      <w:r>
        <w:rPr>
          <w:rStyle w:val="CharStyle10"/>
          <w:lang w:val="en-US" w:eastAsia="en-US"/>
        </w:rPr>
        <w:t xml:space="preserve">106 </w:t>
      </w:r>
      <w:r>
        <w:rPr>
          <w:rStyle w:val="CharStyle10"/>
        </w:rPr>
        <w:t>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62" w:right="537" w:bottom="539" w:left="1105" w:header="0" w:footer="3" w:gutter="0"/>
          <w:cols w:space="720"/>
          <w:noEndnote/>
          <w:rtlGutter w:val="0"/>
          <w:docGrid w:linePitch="360"/>
        </w:sectPr>
      </w:pPr>
      <w:r>
        <w:rPr>
          <w:rStyle w:val="CharStyle10"/>
        </w:rPr>
        <w:t xml:space="preserve">Вместе с этим в материалах жалобы Заявителем не представлено документов и сведений, подтверждающих обоснованность вышеуказанных доводов, в том числе, указывающих на несоответствие вышеуказанного товара требованиям извещения, подтверждающих невозможность подготовки заявки на участие в запросе котировок и ограничения количества участников закупки, а также свидетельствующих о </w:t>
      </w:r>
      <w:r>
        <w:rPr>
          <w:rStyle w:val="CharStyle10"/>
          <w:sz w:val="24"/>
          <w:szCs w:val="24"/>
          <w:lang w:val="en-US" w:eastAsia="en-US"/>
        </w:rPr>
        <w:t>2026-22404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>нарушении Заказчиком норм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При этом Комиссия Управления отмечает, что согласно протоколу подведения итогов определения поставщика (подрядчика, исполнителя) от </w:t>
      </w:r>
      <w:r>
        <w:rPr>
          <w:rStyle w:val="CharStyle10"/>
          <w:lang w:val="en-US" w:eastAsia="en-US"/>
        </w:rPr>
        <w:t xml:space="preserve">29.04.2026 </w:t>
      </w:r>
      <w:r>
        <w:rPr>
          <w:rStyle w:val="CharStyle10"/>
        </w:rPr>
        <w:t xml:space="preserve">№ИЗК1 на участие в закупке подано </w:t>
      </w:r>
      <w:r>
        <w:rPr>
          <w:rStyle w:val="CharStyle10"/>
          <w:lang w:val="en-US" w:eastAsia="en-US"/>
        </w:rPr>
        <w:t xml:space="preserve">12 </w:t>
      </w:r>
      <w:r>
        <w:rPr>
          <w:rStyle w:val="CharStyle10"/>
        </w:rPr>
        <w:t>заявок участников, признанные соответствующими требованиям извещения, что свидетельствует о возможности сформировать заявку на условиях извещения.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Резюмируя вышеизложенное, в отсутствие доказательств обратного, Комиссия Управления приходит к выводу, что довод жалобы на нашел своего подтверждения и является необоснованным.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.В составе жалобы Заявитель указывает на то, что в описание объектов закупки при использовании позиции каталога товаров, работ, услуг для обеспечения государственных и муниципальных нужд (далее </w:t>
      </w:r>
      <w:r>
        <w:rPr>
          <w:rStyle w:val="CharStyle10"/>
          <w:lang w:val="en-US" w:eastAsia="en-US"/>
        </w:rPr>
        <w:t xml:space="preserve">— </w:t>
      </w:r>
      <w:r>
        <w:rPr>
          <w:rStyle w:val="CharStyle10"/>
        </w:rPr>
        <w:t xml:space="preserve">КТРУ) </w:t>
      </w:r>
      <w:r>
        <w:rPr>
          <w:rStyle w:val="CharStyle10"/>
          <w:lang w:val="en-US" w:eastAsia="en-US"/>
        </w:rPr>
        <w:t xml:space="preserve">28.25.12.130-00000020 </w:t>
      </w:r>
      <w:r>
        <w:rPr>
          <w:rStyle w:val="CharStyle10"/>
        </w:rPr>
        <w:t>«Кондиционер бытовой» включены дополнительные характеристики без надлежащего обоснования, что, по мнению Заявителя, нарушает положения Правил использования КТРУ и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В силу п.5 ч.1 ст.42 Закона о контрактной системе извещение об осуществлении закупки должно содержать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ч.6 ст.23 Закона о контрактной системе,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Постановлением Правительства Российской Федерации от </w:t>
      </w:r>
      <w:r>
        <w:rPr>
          <w:rStyle w:val="CharStyle10"/>
          <w:lang w:val="en-US" w:eastAsia="en-US"/>
        </w:rPr>
        <w:t xml:space="preserve">08.02.2017 №145 </w:t>
      </w:r>
      <w:r>
        <w:rPr>
          <w:rStyle w:val="CharStyle10"/>
        </w:rPr>
        <w:t xml:space="preserve">утверждены 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(далее </w:t>
      </w:r>
      <w:r>
        <w:rPr>
          <w:rStyle w:val="CharStyle10"/>
          <w:lang w:val="en-US" w:eastAsia="en-US"/>
        </w:rPr>
        <w:t xml:space="preserve">— </w:t>
      </w:r>
      <w:r>
        <w:rPr>
          <w:rStyle w:val="CharStyle10"/>
        </w:rPr>
        <w:t xml:space="preserve">правила формирования КТРУ) и Правила использования каталога товаров, работ, услуг для обеспечения государственных и муниципальных нужд (далее </w:t>
      </w:r>
      <w:r>
        <w:rPr>
          <w:rStyle w:val="CharStyle10"/>
          <w:lang w:val="en-US" w:eastAsia="en-US"/>
        </w:rPr>
        <w:t xml:space="preserve">— </w:t>
      </w:r>
      <w:r>
        <w:rPr>
          <w:rStyle w:val="CharStyle10"/>
        </w:rPr>
        <w:t>Правила использования КТРУ).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На основании п.14 ч.3 ст.4 Закона о контрактной системе единая информационная система содержит каталог товаров, работ, услуг для обеспечения государственных и муниципальных нужд.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Согласно ч.6 ст.23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Согласно пп.«а» п.2 Правила использования КТРУ каталог используется заказчиками в целях обеспечения применения информации о товарах, работах, услугах, в том числе в: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3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извещении об осуществлении закупки;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приглашении принять участие в определении поставщика (подрядчика, исполнителя) (далее </w:t>
      </w:r>
      <w:r>
        <w:rPr>
          <w:rStyle w:val="CharStyle10"/>
          <w:lang w:val="en-US" w:eastAsia="en-US"/>
        </w:rPr>
        <w:t xml:space="preserve">— </w:t>
      </w:r>
      <w:r>
        <w:rPr>
          <w:rStyle w:val="CharStyle10"/>
        </w:rPr>
        <w:t>приглашение);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700"/>
        <w:jc w:val="both"/>
        <w:sectPr>
          <w:headerReference w:type="default" r:id="rId17"/>
          <w:footerReference w:type="default" r:id="rId18"/>
          <w:footnotePr>
            <w:pos w:val="pageBottom"/>
            <w:numFmt w:val="decimal"/>
            <w:numRestart w:val="continuous"/>
          </w:footnotePr>
          <w:pgSz w:w="11900" w:h="16840"/>
          <w:pgMar w:top="1162" w:right="546" w:bottom="1157" w:left="1106" w:header="0" w:footer="3" w:gutter="0"/>
          <w:cols w:space="720"/>
          <w:noEndnote/>
          <w:rtlGutter w:val="0"/>
          <w:docGrid w:linePitch="360"/>
        </w:sectPr>
      </w:pPr>
      <w:r>
        <w:rPr>
          <w:rStyle w:val="CharStyle10"/>
        </w:rPr>
        <w:t>документации о закупке (в случае если Федеральным законом предусмотрена документация о закупке);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35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контракте;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3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реестре контрактов, заключенных заказчиками.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На основании п.4 Правил использования КТРУ Заказчики обязаны применять информацию, включенную в позицию каталога в соответствии с пп.«а»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 xml:space="preserve">«г» и «е»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>«з» п.10 Правил формирования КТРУ.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2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наименование товара, работы, услуги;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1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единицы измерения количества товара, объема выполняемой работы, оказываемой услуги (при наличии);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1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описание товара, работы, услуги (при наличии такого описания в позиции).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В силу п.5 Правил использования КТРУ Заказчик вправе указать в извещении об осуществлении закупки, приглашении и документации о закупке (в случае если Законом о контрактной системе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с.33 Закона о контрактной системе, которые не предусмотрены в позиции каталога.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Вместе с тем в силу п. </w:t>
      </w:r>
      <w:r>
        <w:rPr>
          <w:rStyle w:val="CharStyle10"/>
          <w:lang w:val="en-US" w:eastAsia="en-US"/>
        </w:rPr>
        <w:t xml:space="preserve">6 </w:t>
      </w:r>
      <w:r>
        <w:rPr>
          <w:rStyle w:val="CharStyle10"/>
        </w:rPr>
        <w:t xml:space="preserve">Правил использования КТРУ в случае предоставления дополнительной информации, предусмотренной п. </w:t>
      </w:r>
      <w:r>
        <w:rPr>
          <w:rStyle w:val="CharStyle10"/>
          <w:lang w:val="en-US" w:eastAsia="en-US"/>
        </w:rPr>
        <w:t xml:space="preserve">5 </w:t>
      </w:r>
      <w:r>
        <w:rPr>
          <w:rStyle w:val="CharStyle10"/>
        </w:rPr>
        <w:t>Правил,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При этом п.7 Правил использования КТРУ регламентировано, что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ст.33 Закона о контрактной системе. При проведении предусмотренных Законом о контрактной системе электронных процедур, закрытых электронных процедур характеристики объекта закупки, предусмотренные п.1 ч.1 ст.33 Закона о контрактной системе, указываются с использованием единой информационной системы при формировании извещения об осуществлении закупки, приглашения принять участие в определении поставщика (подрядчика, исполнителя) в соответствии с ч.1 ст.42, п.1 ч.1 ст.75 Закона о контрактной системе соответственно.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Комиссией Управления установлено, что согласно описанию объекта закупки Заказчиком установлены следующие требования к закупаемому товару, например: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Минимальная рабочая температура: </w:t>
      </w:r>
      <w:r>
        <w:rPr>
          <w:rStyle w:val="CharStyle10"/>
          <w:lang w:val="en-US" w:eastAsia="en-US"/>
        </w:rPr>
        <w:t xml:space="preserve">≥ 18 </w:t>
      </w:r>
      <w:r>
        <w:rPr>
          <w:rStyle w:val="CharStyle10"/>
        </w:rPr>
        <w:t>Градус Цельсия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Потребляемая мощность при охлаждении: </w:t>
      </w:r>
      <w:r>
        <w:rPr>
          <w:rStyle w:val="CharStyle10"/>
          <w:lang w:val="en-US" w:eastAsia="en-US"/>
        </w:rPr>
        <w:t xml:space="preserve">≥ 2.3 </w:t>
      </w:r>
      <w:r>
        <w:rPr>
          <w:rStyle w:val="CharStyle10"/>
        </w:rPr>
        <w:t>Киловатт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Вид используемого хладагента: </w:t>
      </w:r>
      <w:r>
        <w:rPr>
          <w:rStyle w:val="CharStyle10"/>
          <w:lang w:val="en-US" w:eastAsia="en-US"/>
        </w:rPr>
        <w:t xml:space="preserve">R </w:t>
      </w:r>
      <w:r>
        <w:rPr>
          <w:rStyle w:val="CharStyle10"/>
        </w:rPr>
        <w:t>410А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При этом в разделе «Обоснование включения дополнительной информации в сведения о товаре, работе, услуге» предусмотрено следующее обоснование включения дополнительного требования, не предусмотренного выбранной позицией КТРУ </w:t>
      </w:r>
      <w:r>
        <w:rPr>
          <w:rStyle w:val="CharStyle10"/>
          <w:lang w:val="en-US" w:eastAsia="en-US"/>
        </w:rPr>
        <w:t>28.25.12.130-00000020: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95" w:lineRule="auto"/>
        <w:ind w:left="0" w:right="0" w:firstLine="720"/>
        <w:jc w:val="both"/>
        <w:rPr>
          <w:sz w:val="24"/>
          <w:szCs w:val="24"/>
        </w:rPr>
        <w:sectPr>
          <w:headerReference w:type="default" r:id="rId19"/>
          <w:footerReference w:type="default" r:id="rId20"/>
          <w:footnotePr>
            <w:pos w:val="pageBottom"/>
            <w:numFmt w:val="decimal"/>
            <w:numRestart w:val="continuous"/>
          </w:footnotePr>
          <w:pgSz w:w="11900" w:h="16840"/>
          <w:pgMar w:top="1162" w:right="550" w:bottom="653" w:left="1106" w:header="0" w:footer="225" w:gutter="0"/>
          <w:cols w:space="720"/>
          <w:noEndnote/>
          <w:rtlGutter w:val="0"/>
          <w:docGrid w:linePitch="360"/>
        </w:sectPr>
      </w:pPr>
      <w:r>
        <w:rPr>
          <w:rStyle w:val="CharStyle10"/>
        </w:rPr>
        <w:t>«</w:t>
      </w:r>
      <w:r>
        <w:rPr>
          <w:rStyle w:val="CharStyle10"/>
          <w:i/>
          <w:iCs/>
        </w:rPr>
        <w:t xml:space="preserve">В соответствии с требованиями п. </w:t>
      </w:r>
      <w:r>
        <w:rPr>
          <w:rStyle w:val="CharStyle10"/>
          <w:i/>
          <w:iCs/>
          <w:lang w:val="en-US" w:eastAsia="en-US"/>
        </w:rPr>
        <w:t xml:space="preserve">1 </w:t>
      </w:r>
      <w:r>
        <w:rPr>
          <w:rStyle w:val="CharStyle10"/>
          <w:i/>
          <w:iCs/>
        </w:rPr>
        <w:t xml:space="preserve">ч. </w:t>
      </w:r>
      <w:r>
        <w:rPr>
          <w:rStyle w:val="CharStyle10"/>
          <w:i/>
          <w:iCs/>
          <w:lang w:val="en-US" w:eastAsia="en-US"/>
        </w:rPr>
        <w:t xml:space="preserve">1 </w:t>
      </w:r>
      <w:r>
        <w:rPr>
          <w:rStyle w:val="CharStyle10"/>
          <w:i/>
          <w:iCs/>
        </w:rPr>
        <w:t xml:space="preserve">ст. </w:t>
      </w:r>
      <w:r>
        <w:rPr>
          <w:rStyle w:val="CharStyle10"/>
          <w:i/>
          <w:iCs/>
          <w:lang w:val="en-US" w:eastAsia="en-US"/>
        </w:rPr>
        <w:t xml:space="preserve">33 </w:t>
      </w:r>
      <w:r>
        <w:rPr>
          <w:rStyle w:val="CharStyle10"/>
          <w:i/>
          <w:iCs/>
        </w:rPr>
        <w:t xml:space="preserve">Закона </w:t>
      </w:r>
      <w:r>
        <w:rPr>
          <w:rStyle w:val="CharStyle10"/>
          <w:i/>
          <w:iCs/>
          <w:lang w:val="en-US" w:eastAsia="en-US"/>
        </w:rPr>
        <w:t xml:space="preserve">№ </w:t>
      </w:r>
      <w:r>
        <w:rPr>
          <w:rStyle w:val="CharStyle10"/>
          <w:i/>
          <w:iCs/>
        </w:rPr>
        <w:t xml:space="preserve">44-ФЗ в описании объекта закупки указываются функциональные, технические и </w:t>
      </w:r>
      <w:r>
        <w:rPr>
          <w:rStyle w:val="CharStyle10"/>
          <w:sz w:val="24"/>
          <w:szCs w:val="24"/>
          <w:lang w:val="en-US" w:eastAsia="en-US"/>
        </w:rPr>
        <w:t>2026-22404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  <w:i/>
          <w:iCs/>
        </w:rPr>
        <w:t>качественные характеристики, эксплуатационные характеристики товара (при необходимости). В связи с тем, что характеристика в КТРУ не является исчерпывающей и не позволяет точно определить качественные, функциональные и технические характеристики закупаемого товара, необходимо в описании объекта закупки указать дополнительную информацию исходя из характеристик, которым должен отвечать закупаемый товар, в описании товара указываются дополнительные характеристики. Приведенное в каталоге товаров, работ, услуг описание товара не позволяет в полном объеме идентифицировать необходимый Заказчику товар однозначным образом; дополнительные характеристики установлены Заказчиком для определения соответствия поставляемого товара потребностям Заказчика. Данный набор характеристик позволяет удовлетворить потребности Заказчика с учетом специфики деятельности и обеспечивает эффективное использование бюджетных средств.</w:t>
      </w:r>
      <w:r>
        <w:rPr>
          <w:rStyle w:val="CharStyle10"/>
        </w:rPr>
        <w:t>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Вместе с тем Комиссия Управления отмечает, что в случае реализации права, предусмотренного п. </w:t>
      </w:r>
      <w:r>
        <w:rPr>
          <w:rStyle w:val="CharStyle10"/>
          <w:lang w:val="en-US" w:eastAsia="en-US"/>
        </w:rPr>
        <w:t xml:space="preserve">5 </w:t>
      </w:r>
      <w:r>
        <w:rPr>
          <w:rStyle w:val="CharStyle10"/>
        </w:rPr>
        <w:t xml:space="preserve">Правил использования каталога, в обоснование, установленное п. </w:t>
      </w:r>
      <w:r>
        <w:rPr>
          <w:rStyle w:val="CharStyle10"/>
          <w:lang w:val="en-US" w:eastAsia="en-US"/>
        </w:rPr>
        <w:t xml:space="preserve">6 </w:t>
      </w:r>
      <w:r>
        <w:rPr>
          <w:rStyle w:val="CharStyle10"/>
        </w:rPr>
        <w:t>указанных правил, целесообразно включить причинно-следственную связь между такими дополнительной информацией (каждым видом), потребительскими свойствами (каждым свойством) и соответствующей потребностью заказчика, подлежащей удовлетворению в связи с такими дополнительными информацией, свойствами.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0"/>
        </w:rPr>
        <w:t>В то же время Комиссия Управления отмечает, что размещенное в составе описания объекта закупки обоснование необходимости использования дополнительной информации, по вышеуказанным характеристикам, не соответствует п.6 Правил использования КТРУ, так как не обосновывает и не раскрывает потребность Заказчика в установлении таких характеристик.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0"/>
        </w:rPr>
        <w:t xml:space="preserve">На основании вышеизложенного, Комиссия Управления приходит к выводу, что извещение данной закупочной процедуры установлено в нарушение п.1 ч.1 ст.33, ч.6 ст.23 Закона о контрактной системе и содержит признаки состава административного правонарушения, предусмотренного ч. </w:t>
      </w:r>
      <w:r>
        <w:rPr>
          <w:rStyle w:val="CharStyle10"/>
          <w:lang w:val="en-US" w:eastAsia="en-US"/>
        </w:rPr>
        <w:t xml:space="preserve">5 </w:t>
      </w:r>
      <w:r>
        <w:rPr>
          <w:rStyle w:val="CharStyle10"/>
        </w:rPr>
        <w:t xml:space="preserve">ст. </w:t>
      </w:r>
      <w:r>
        <w:rPr>
          <w:rStyle w:val="CharStyle10"/>
          <w:lang w:val="en-US" w:eastAsia="en-US"/>
        </w:rPr>
        <w:t xml:space="preserve">7.30.1 </w:t>
      </w:r>
      <w:r>
        <w:rPr>
          <w:rStyle w:val="CharStyle10"/>
        </w:rPr>
        <w:t>Кодекса Российской Федерации об административных правонарушениях.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sectPr>
          <w:headerReference w:type="default" r:id="rId21"/>
          <w:footerReference w:type="default" r:id="rId22"/>
          <w:footnotePr>
            <w:pos w:val="pageBottom"/>
            <w:numFmt w:val="decimal"/>
            <w:numRestart w:val="continuous"/>
          </w:footnotePr>
          <w:pgSz w:w="11900" w:h="16840"/>
          <w:pgMar w:top="1167" w:right="545" w:bottom="1167" w:left="1101" w:header="0" w:footer="3" w:gutter="0"/>
          <w:cols w:space="720"/>
          <w:noEndnote/>
          <w:rtlGutter w:val="0"/>
          <w:docGrid w:linePitch="360"/>
        </w:sectPr>
      </w:pPr>
      <w:r>
        <w:rPr>
          <w:rStyle w:val="CharStyle10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rStyle w:val="CharStyle10"/>
          <w:b/>
          <w:bCs/>
        </w:rPr>
        <w:t>РЕШИЛА:</w:t>
      </w:r>
    </w:p>
    <w:p>
      <w:pPr>
        <w:pStyle w:val="Style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1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Признать жалобу ИП Шлейко Л. Г. на действия ГБУЗ «ГКБ им. В.М. Буянова ДЗМ» обоснованной.</w:t>
      </w:r>
    </w:p>
    <w:p>
      <w:pPr>
        <w:pStyle w:val="Style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1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Признать в действиях Заказчика нарушения п.1 ч.1 ст.33, ч.6 ст.23 Закона о контрактной системе.</w:t>
      </w:r>
    </w:p>
    <w:p>
      <w:pPr>
        <w:pStyle w:val="Style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2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Обязательное для исполнения предписание об устранении нарушений законодательства о контрактной системе Заказчику не выдавать, поскольку выявленные нарушения не повлияли на определение поставщика (подрядчика, исполнителя).</w:t>
      </w:r>
    </w:p>
    <w:p>
      <w:pPr>
        <w:pStyle w:val="Style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17" w:val="left"/>
        </w:tabs>
        <w:bidi w:val="0"/>
        <w:spacing w:before="0" w:after="260" w:line="240" w:lineRule="auto"/>
        <w:ind w:left="0" w:right="0" w:firstLine="720"/>
        <w:jc w:val="both"/>
      </w:pPr>
      <w:r>
        <w:rPr>
          <w:rStyle w:val="CharStyle10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rStyle w:val="CharStyle10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10"/>
          <w:lang w:val="en-US" w:eastAsia="en-US"/>
        </w:rPr>
        <w:t xml:space="preserve">3 </w:t>
      </w:r>
      <w:r>
        <w:rPr>
          <w:rStyle w:val="CharStyle10"/>
        </w:rPr>
        <w:t xml:space="preserve">(трех) месяцев с даты его принятия в порядке, установленном гл. </w:t>
      </w:r>
      <w:r>
        <w:rPr>
          <w:rStyle w:val="CharStyle10"/>
          <w:lang w:val="en-US" w:eastAsia="en-US"/>
        </w:rPr>
        <w:t xml:space="preserve">24 </w:t>
      </w:r>
      <w:r>
        <w:rPr>
          <w:rStyle w:val="CharStyle10"/>
        </w:rPr>
        <w:t>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494" w:right="527" w:bottom="2137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42900" distB="191770" distL="0" distR="0" simplePos="0" relativeHeight="125829379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342900</wp:posOffset>
                </wp:positionV>
                <wp:extent cx="1844040" cy="250190"/>
                <wp:wrapTopAndBottom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58.200000000000003pt;margin-top:27.pt;width:145.20000000000002pt;height:19.699999999999999pt;z-index:-125829374;mso-wrap-distance-left:0;mso-wrap-distance-top:27.pt;mso-wrap-distance-right:0;mso-wrap-distance-bottom:15.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40690" distB="0" distL="0" distR="1816735" simplePos="0" relativeHeight="125829381" behindDoc="0" locked="0" layoutInCell="1" allowOverlap="1">
            <wp:simplePos x="0" y="0"/>
            <wp:positionH relativeFrom="page">
              <wp:posOffset>3028315</wp:posOffset>
            </wp:positionH>
            <wp:positionV relativeFrom="paragraph">
              <wp:posOffset>440690</wp:posOffset>
            </wp:positionV>
            <wp:extent cx="298450" cy="347345"/>
            <wp:wrapTopAndBottom/>
            <wp:docPr id="24" name="Shape 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box 25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3418205</wp:posOffset>
                </wp:positionH>
                <wp:positionV relativeFrom="paragraph">
                  <wp:posOffset>501650</wp:posOffset>
                </wp:positionV>
                <wp:extent cx="1722120" cy="259080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69.14999999999998pt;margin-top:39.5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42900" distB="191770" distL="0" distR="0" simplePos="0" relativeHeight="125829382" behindDoc="0" locked="0" layoutInCell="1" allowOverlap="1">
                <wp:simplePos x="0" y="0"/>
                <wp:positionH relativeFrom="page">
                  <wp:posOffset>5905500</wp:posOffset>
                </wp:positionH>
                <wp:positionV relativeFrom="paragraph">
                  <wp:posOffset>342900</wp:posOffset>
                </wp:positionV>
                <wp:extent cx="1289050" cy="250190"/>
                <wp:wrapTopAndBottom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90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465.pt;margin-top:27.pt;width:101.5pt;height:19.699999999999999pt;z-index:-125829371;mso-wrap-distance-left:0;mso-wrap-distance-top:27.pt;mso-wrap-distance-right:0;mso-wrap-distance-bottom:15.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6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  <w:rPr>
          <w:sz w:val="12"/>
          <w:szCs w:val="12"/>
        </w:rPr>
      </w:pPr>
      <w:r>
        <w:rPr>
          <w:rStyle w:val="CharStyle17"/>
          <w:color w:val="FFFFFF"/>
          <w:sz w:val="12"/>
          <w:szCs w:val="12"/>
        </w:rPr>
        <w:t>СВЕДЕНИЯ О СЕРТИФИКАТЕ ЭП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Кутейников Антон Андреевич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  <w:lang w:val="en-US" w:eastAsia="en-US"/>
        </w:rPr>
        <w:t>67950889C45403E5BD9EBC88A8D80C0D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20"/>
        </w:rPr>
        <w:t xml:space="preserve">Действителен с 19.05.2025 </w:t>
      </w:r>
      <w:r>
        <w:rPr>
          <w:rStyle w:val="CharStyle20"/>
          <w:color w:val="5D5D5D"/>
        </w:rPr>
        <w:t xml:space="preserve">по </w:t>
      </w:r>
      <w:r>
        <w:rPr>
          <w:rStyle w:val="CharStyle20"/>
        </w:rPr>
        <w:t>12.08.2026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94" w:right="527" w:bottom="2137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15900" distB="167640" distL="0" distR="0" simplePos="0" relativeHeight="125829384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215900</wp:posOffset>
                </wp:positionV>
                <wp:extent cx="1344295" cy="252730"/>
                <wp:wrapTopAndBottom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429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57.950000000000003pt;margin-top:17.pt;width:105.85000000000001pt;height:19.900000000000002pt;z-index:-125829369;mso-wrap-distance-left:0;mso-wrap-distance-top:17.pt;mso-wrap-distance-right:0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77190" distB="0" distL="0" distR="0" simplePos="0" relativeHeight="125829386" behindDoc="0" locked="0" layoutInCell="1" allowOverlap="1">
                <wp:simplePos x="0" y="0"/>
                <wp:positionH relativeFrom="page">
                  <wp:posOffset>3418205</wp:posOffset>
                </wp:positionH>
                <wp:positionV relativeFrom="paragraph">
                  <wp:posOffset>377190</wp:posOffset>
                </wp:positionV>
                <wp:extent cx="1722120" cy="259080"/>
                <wp:wrapTopAndBottom/>
                <wp:docPr id="32" name="Shape 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8" type="#_x0000_t202" style="position:absolute;margin-left:269.14999999999998pt;margin-top:29.699999999999999pt;width:135.59999999999999pt;height:20.400000000000002pt;z-index:-125829367;mso-wrap-distance-left:0;mso-wrap-distance-top:29.699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15900" distB="167640" distL="0" distR="0" simplePos="0" relativeHeight="125829388" behindDoc="0" locked="0" layoutInCell="1" allowOverlap="1">
                <wp:simplePos x="0" y="0"/>
                <wp:positionH relativeFrom="page">
                  <wp:posOffset>5862955</wp:posOffset>
                </wp:positionH>
                <wp:positionV relativeFrom="paragraph">
                  <wp:posOffset>215900</wp:posOffset>
                </wp:positionV>
                <wp:extent cx="1322705" cy="252730"/>
                <wp:wrapTopAndBottom/>
                <wp:docPr id="34" name="Shape 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2270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</w:rPr>
                              <w:t>А.А. Матюшенко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0" type="#_x0000_t202" style="position:absolute;margin-left:461.65000000000003pt;margin-top:17.pt;width:104.15000000000001pt;height:19.900000000000002pt;z-index:-125829365;mso-wrap-distance-left:0;mso-wrap-distance-top:17.pt;mso-wrap-distance-right:0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</w:rPr>
                        <w:t>А.А. Матюшенко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6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340" w:right="0" w:firstLine="0"/>
        <w:jc w:val="left"/>
        <w:rPr>
          <w:sz w:val="12"/>
          <w:szCs w:val="12"/>
        </w:rPr>
      </w:pPr>
      <w:r>
        <w:rPr>
          <w:rStyle w:val="CharStyle17"/>
          <w:color w:val="FFFFFF"/>
          <w:sz w:val="12"/>
          <w:szCs w:val="12"/>
        </w:rPr>
        <w:t>СВЕДЕНИЯ О СЕРТИФИКАТЕ ЭП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Матюшенко Александр Александрович</w:t>
      </w:r>
      <w:r>
        <w:rPr>
          <w:rStyle w:val="CharStyle20"/>
          <w:color w:val="000000"/>
        </w:rPr>
        <w:t xml:space="preserve"> </w:t>
      </w: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  <w:lang w:val="en-US" w:eastAsia="en-US"/>
        </w:rPr>
        <w:t>4F595A5C3E5ABB2DD77161F08559FC07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360" w:line="266" w:lineRule="auto"/>
        <w:ind w:right="0" w:firstLine="0"/>
        <w:jc w:val="left"/>
      </w:pPr>
      <w:r>
        <w:rPr>
          <w:rStyle w:val="CharStyle20"/>
        </w:rPr>
        <w:t xml:space="preserve">Действителен с 22.07.2025 </w:t>
      </w:r>
      <w:r>
        <w:rPr>
          <w:rStyle w:val="CharStyle20"/>
          <w:color w:val="5D5D5D"/>
        </w:rPr>
        <w:t xml:space="preserve">по </w:t>
      </w:r>
      <w:r>
        <w:rPr>
          <w:rStyle w:val="CharStyle20"/>
        </w:rPr>
        <w:t>15.10.2026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90" behindDoc="0" locked="0" layoutInCell="1" allowOverlap="1">
            <wp:simplePos x="0" y="0"/>
            <wp:positionH relativeFrom="page">
              <wp:posOffset>2997200</wp:posOffset>
            </wp:positionH>
            <wp:positionV relativeFrom="paragraph">
              <wp:posOffset>63500</wp:posOffset>
            </wp:positionV>
            <wp:extent cx="359410" cy="524510"/>
            <wp:wrapSquare wrapText="right"/>
            <wp:docPr id="36" name="Shape 3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box 37"/>
                    <pic:cNvPicPr/>
                  </pic:nvPicPr>
                  <pic:blipFill>
                    <a:blip r:embed="rId25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3460750</wp:posOffset>
                </wp:positionH>
                <wp:positionV relativeFrom="paragraph">
                  <wp:posOffset>468630</wp:posOffset>
                </wp:positionV>
                <wp:extent cx="1280160" cy="100330"/>
                <wp:wrapNone/>
                <wp:docPr id="38" name="Shape 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5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4" type="#_x0000_t202" style="position:absolute;margin-left:272.5pt;margin-top:36.899999999999999pt;width:100.8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5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3417570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40" name="Shape 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6" type="#_x0000_t202" style="position:absolute;margin-left:269.10000000000002pt;margin-top:11.95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0"/>
        </w:rPr>
        <w:t>М.О. Мацнева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Мацнева Мария Олеговна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  <w:lang w:val="en-US" w:eastAsia="en-US"/>
        </w:rPr>
        <w:t>00FDA1C988AAB27A9A34756B8D5F1D853</w:t>
      </w:r>
      <w:r>
        <w:rPr>
          <w:rStyle w:val="CharStyle20"/>
          <w:lang w:val="en-US" w:eastAsia="en-US"/>
        </w:rPr>
        <w:t>A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1180" w:line="240" w:lineRule="auto"/>
        <w:ind w:right="0" w:firstLine="0"/>
        <w:jc w:val="left"/>
      </w:pPr>
      <w:r>
        <w:rPr>
          <w:rStyle w:val="CharStyle20"/>
        </w:rPr>
        <w:t xml:space="preserve">Действителен с 22.07.2025 </w:t>
      </w:r>
      <w:r>
        <w:rPr>
          <w:rStyle w:val="CharStyle20"/>
          <w:color w:val="5D5D5D"/>
        </w:rPr>
        <w:t xml:space="preserve">по </w:t>
      </w:r>
      <w:r>
        <w:rPr>
          <w:rStyle w:val="CharStyle20"/>
        </w:rPr>
        <w:t>15.10.2026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6"/>
        </w:rPr>
        <w:t>Исп.Мацнева М.О.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494" w:right="527" w:bottom="1494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10214610</wp:posOffset>
              </wp:positionV>
              <wp:extent cx="728345" cy="12827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834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2026-22404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pt;margin-top:804.30000000000007pt;width:57.350000000000001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2026-22404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8345" cy="103505"/>
              <wp:wrapNone/>
              <wp:docPr id="14" name="Shape 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834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2026-22404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0" type="#_x0000_t202" style="position:absolute;margin-left:57.200000000000003pt;margin-top:794.70000000000005pt;width:57.350000000000001pt;height:8.15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2026-22404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8345" cy="103505"/>
              <wp:wrapNone/>
              <wp:docPr id="20" name="Shape 2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834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2026-22404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6" type="#_x0000_t202" style="position:absolute;margin-left:57.200000000000003pt;margin-top:794.70000000000005pt;width:57.350000000000001pt;height:8.1500000000000004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2026-22404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287020</wp:posOffset>
              </wp:positionV>
              <wp:extent cx="76200" cy="6985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05000000000001pt;margin-top:22.600000000000001pt;width:6.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473075</wp:posOffset>
              </wp:positionV>
              <wp:extent cx="52070" cy="69850"/>
              <wp:wrapNone/>
              <wp:docPr id="12" name="Shape 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207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8" type="#_x0000_t202" style="position:absolute;margin-left:309.pt;margin-top:37.25pt;width:4.0999999999999996pt;height:5.5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287020</wp:posOffset>
              </wp:positionV>
              <wp:extent cx="76200" cy="69850"/>
              <wp:wrapNone/>
              <wp:docPr id="16" name="Shape 1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2" type="#_x0000_t202" style="position:absolute;margin-left:309.05000000000001pt;margin-top:22.600000000000001pt;width:6.pt;height:5.5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473075</wp:posOffset>
              </wp:positionV>
              <wp:extent cx="52070" cy="69850"/>
              <wp:wrapNone/>
              <wp:docPr id="18" name="Shape 1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207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4" type="#_x0000_t202" style="position:absolute;margin-left:309.pt;margin-top:37.25pt;width:4.0999999999999996pt;height:5.5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8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10">
    <w:name w:val="Body text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Picture caption_"/>
    <w:basedOn w:val="DefaultParagraphFont"/>
    <w:link w:val="Style1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7">
    <w:name w:val="Body text (4)_"/>
    <w:basedOn w:val="DefaultParagraphFont"/>
    <w:link w:val="Style16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0">
    <w:name w:val="Body text (2)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character" w:customStyle="1" w:styleId="CharStyle26">
    <w:name w:val="Body text (5)_"/>
    <w:basedOn w:val="DefaultParagraphFont"/>
    <w:link w:val="Style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23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styleId="Style9">
    <w:name w:val="Body text"/>
    <w:basedOn w:val="Normal"/>
    <w:link w:val="CharStyle10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Picture caption"/>
    <w:basedOn w:val="Normal"/>
    <w:link w:val="CharStyle15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6">
    <w:name w:val="Body text (4)"/>
    <w:basedOn w:val="Normal"/>
    <w:link w:val="CharStyle17"/>
    <w:pPr>
      <w:widowControl w:val="0"/>
      <w:shd w:val="clear" w:color="auto" w:fill="auto"/>
      <w:spacing w:after="5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9">
    <w:name w:val="Body text (2)"/>
    <w:basedOn w:val="Normal"/>
    <w:link w:val="CharStyle20"/>
    <w:pPr>
      <w:widowControl w:val="0"/>
      <w:shd w:val="clear" w:color="auto" w:fill="auto"/>
      <w:ind w:left="364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25">
    <w:name w:val="Body text (5)"/>
    <w:basedOn w:val="Normal"/>
    <w:link w:val="CharStyle26"/>
    <w:pPr>
      <w:widowControl w:val="0"/>
      <w:shd w:val="clear" w:color="auto" w:fill="auto"/>
      <w:spacing w:after="2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png"/><Relationship Id="rId16" Type="http://schemas.openxmlformats.org/officeDocument/2006/relationships/image" Target="media/image4.png" TargetMode="External"/><Relationship Id="rId17" Type="http://schemas.openxmlformats.org/officeDocument/2006/relationships/header" Target="header3.xml"/><Relationship Id="rId18" Type="http://schemas.openxmlformats.org/officeDocument/2006/relationships/footer" Target="footer3.xml"/><Relationship Id="rId19" Type="http://schemas.openxmlformats.org/officeDocument/2006/relationships/header" Target="header4.xml"/><Relationship Id="rId20" Type="http://schemas.openxmlformats.org/officeDocument/2006/relationships/footer" Target="footer4.xml"/><Relationship Id="rId21" Type="http://schemas.openxmlformats.org/officeDocument/2006/relationships/header" Target="header5.xml"/><Relationship Id="rId22" Type="http://schemas.openxmlformats.org/officeDocument/2006/relationships/footer" Target="footer5.xml"/><Relationship Id="rId23" Type="http://schemas.openxmlformats.org/officeDocument/2006/relationships/image" Target="media/image5.jpeg"/><Relationship Id="rId24" Type="http://schemas.openxmlformats.org/officeDocument/2006/relationships/image" Target="media/image5.jpeg" TargetMode="External"/><Relationship Id="rId25" Type="http://schemas.openxmlformats.org/officeDocument/2006/relationships/image" Target="media/image6.jpeg"/><Relationship Id="rId26" Type="http://schemas.openxmlformats.org/officeDocument/2006/relationships/image" Target="media/image6.jpeg" TargetMode="External"/></Relationships>
</file>