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7"/>
          <w:sz w:val="134"/>
          <w:szCs w:val="134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Федеральной антимонопольной службы</w:t>
        <w:br/>
        <w:t>по Владимирской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600000, г. Владимир, ул. Большая Московская, 1</w:t>
        <w:br/>
        <w:t>тел. (4922) 53-14-53, факс (4922) 53-14-53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9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"mailto:to33@fas.gov.ru" </w:instrText>
      </w:r>
      <w:r>
        <w:fldChar w:fldCharType="separate"/>
      </w:r>
      <w:r>
        <w:rPr>
          <w:rStyle w:val="CharStyle3"/>
          <w:color w:val="476197"/>
          <w:sz w:val="16"/>
          <w:szCs w:val="16"/>
          <w:lang w:val="en-US" w:eastAsia="en-US"/>
        </w:rPr>
        <w:t>to33@fas.gov.ru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320" w:line="240" w:lineRule="auto"/>
        <w:ind w:left="0" w:right="0" w:firstLine="0"/>
        <w:jc w:val="both"/>
        <w:rPr>
          <w:sz w:val="30"/>
          <w:szCs w:val="30"/>
        </w:rPr>
      </w:pPr>
      <w:r>
        <w:rPr>
          <w:rStyle w:val="CharStyle12"/>
          <w:sz w:val="30"/>
          <w:szCs w:val="30"/>
          <w:u w:val="singl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sz w:val="30"/>
          <w:szCs w:val="30"/>
          <w:u w:val="single"/>
        </w:rPr>
        <w:t>8.05.2026</w:t>
      </w:r>
      <w:r>
        <w:rPr>
          <w:rStyle w:val="CharStyle12"/>
          <w:sz w:val="30"/>
          <w:szCs w:val="30"/>
        </w:rPr>
        <w:tab/>
      </w:r>
      <w:r>
        <w:fldChar w:fldCharType="end"/>
      </w:r>
      <w:r>
        <w:rPr>
          <w:rStyle w:val="CharStyle12"/>
          <w:sz w:val="30"/>
          <w:szCs w:val="30"/>
        </w:rPr>
        <w:t xml:space="preserve">№ </w:t>
      </w:r>
      <w:r>
        <w:rPr>
          <w:rStyle w:val="CharStyle12"/>
          <w:sz w:val="30"/>
          <w:szCs w:val="30"/>
          <w:u w:val="single"/>
        </w:rPr>
        <w:t>МФ/2142/2</w:t>
      </w:r>
      <w:r>
        <w:rPr>
          <w:rStyle w:val="CharStyle12"/>
          <w:sz w:val="30"/>
          <w:szCs w:val="30"/>
        </w:rPr>
        <w:t>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7"/>
          <w:sz w:val="18"/>
          <w:szCs w:val="18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ОБЩЕСТВО С ОГРАНИЧЕННОЙ ОТВЕТСТВЕННОСТЬЮ "АНГИОВИЖН"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625000, ТЮМЕНСКАЯ ОБЛАСТЬ,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ТЮМЕНЬ, УЛ. НЕКРАСОВА, Д. 10,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ЭТАЖ 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"mailto:angiovisiontorg@mail.ru" </w:instrText>
      </w:r>
      <w:r>
        <w:fldChar w:fldCharType="separate"/>
      </w:r>
      <w:r>
        <w:rPr>
          <w:rStyle w:val="CharStyle12"/>
          <w:lang w:val="en-US" w:eastAsia="en-US"/>
        </w:rPr>
        <w:t>angiovisiontorg@mail.ru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ГБУЗ ВО "Александровская районная больница"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ул. Восстания 1905 г, д. 9,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Александров, Владимирская область, 601650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656" w:bottom="1216" w:left="1135" w:header="0" w:footer="3" w:gutter="0"/>
          <w:pgNumType w:start="1"/>
          <w:cols w:num="2" w:space="720" w:equalWidth="0">
            <w:col w:w="4301" w:space="970"/>
            <w:col w:w="4838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"mailto:alex@acrb.elcom.ru" </w:instrText>
      </w:r>
      <w:r>
        <w:fldChar w:fldCharType="separate"/>
      </w:r>
      <w:r>
        <w:rPr>
          <w:rStyle w:val="CharStyle12"/>
          <w:lang w:val="en-US" w:eastAsia="en-US"/>
        </w:rPr>
        <w:t>alex@acrb.elcom.ru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fldChar w:fldCharType="begin"/>
      </w:r>
      <w:r>
        <w:rPr/>
        <w:instrText> HYPERLINK "mailto:zakupki@alrb.ru" </w:instrText>
      </w:r>
      <w:r>
        <w:fldChar w:fldCharType="separate"/>
      </w:r>
      <w:r>
        <w:rPr>
          <w:rStyle w:val="CharStyle12"/>
          <w:lang w:val="en-US" w:eastAsia="en-US"/>
        </w:rPr>
        <w:t>zakupki@alrb.ru</w:t>
      </w:r>
      <w:r>
        <w:fldChar w:fldCharType="end"/>
      </w: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2" w:right="0" w:bottom="12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 Е Ш Е Н И 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по делу о нарушении законодательства</w:t>
        <w:br/>
        <w:t>о контрактной системе в сфере закупок</w:t>
        <w:br/>
        <w:t>№ 033/06/105-355/2026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6252845</wp:posOffset>
                </wp:positionH>
                <wp:positionV relativeFrom="paragraph">
                  <wp:posOffset>12700</wp:posOffset>
                </wp:positionV>
                <wp:extent cx="935990" cy="24701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599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  <w:i/>
                                <w:iCs/>
                              </w:rPr>
                              <w:t>г. Владимир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92.35000000000002pt;margin-top:1.pt;width:73.700000000000003pt;height:19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  <w:i/>
                          <w:iCs/>
                        </w:rPr>
                        <w:t>г. Владимир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  <w:i/>
          <w:iCs/>
        </w:rPr>
        <w:t>05 мая 2026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Комиссия Владимирского УФАС России по контролю в сфере закупок (далее – Комиссия) в составе: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rStyle w:val="CharStyle21"/>
        </w:rPr>
        <w:t>Фомина М.В., заместителя руководителя - начальника отдела,</w:t>
      </w:r>
      <w:bookmarkEnd w:id="0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rStyle w:val="CharStyle21"/>
        </w:rPr>
        <w:t>членов Комиссии:</w:t>
      </w:r>
      <w:bookmarkEnd w:id="2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rStyle w:val="CharStyle21"/>
        </w:rPr>
        <w:t>Миронова Д.В., заместителя начальника отдела,</w:t>
      </w:r>
      <w:bookmarkEnd w:id="4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rStyle w:val="CharStyle21"/>
        </w:rPr>
        <w:t>Рогозиной Ю.Ю., главного специалиста-эксперта,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на основании части 8 статьи 106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 рассмотрела жалобу общества с ограниченной ответственностью «АНГИОВИЖН» (далее заявитель) на положения извещения о проведении запроса котировок в электронной форме на поставку расходных материалов для РСЦ (катетер баллонный) для нужд ГБУЗ ВО «Александровская районная больница» (№ закупки 0328300068926000142), в открытом заседании, в присутствии представителя заявителя - ООО «АНГИОВИЖН» Коростелевой О.С. (доверенность от 16.04.2026 № 5); представителя заказчика - ГБУЗ ВО «АРБ» Бобровой О.И. (доверенность от 11.03.2026 № 10)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2"/>
        </w:rPr>
        <w:t>В ходе рассмотрения дела о нарушении законодательства в сфере закупок № 033/06/105-355/2026 Комиссия Владимирского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34"/>
          <w:szCs w:val="34"/>
        </w:rPr>
      </w:pPr>
      <w:r>
        <w:rPr>
          <w:rStyle w:val="CharStyle3"/>
          <w:rFonts w:ascii="Arial" w:eastAsia="Arial" w:hAnsi="Arial" w:cs="Arial"/>
          <w:sz w:val="34"/>
          <w:szCs w:val="34"/>
          <w:lang w:val="en-US" w:eastAsia="en-US"/>
        </w:rPr>
        <w:t>IIIIIIIIIIIIIIIIIIIIIIII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 xml:space="preserve">Во Владимирское УФАС России поступила жалоба общества с ограниченной ответственностью «АНГИОВИЖН» (далее заявитель) на положения извещения о проведении запроса котировок в электронной форме на поставку расходных материалов для РСЦ (катетер баллонный) для нужд ГБУЗ ВО «АРБ» </w:t>
      </w:r>
      <w:r>
        <w:rPr>
          <w:rStyle w:val="CharStyle12"/>
          <w:lang w:val="en-US" w:eastAsia="en-US"/>
        </w:rPr>
        <w:t xml:space="preserve">(№ </w:t>
      </w:r>
      <w:r>
        <w:rPr>
          <w:rStyle w:val="CharStyle12"/>
        </w:rPr>
        <w:t xml:space="preserve">закупки </w:t>
      </w:r>
      <w:r>
        <w:rPr>
          <w:rStyle w:val="CharStyle12"/>
          <w:lang w:val="en-US" w:eastAsia="en-US"/>
        </w:rPr>
        <w:t>0328300068926000142).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800"/>
        <w:jc w:val="both"/>
      </w:pPr>
      <w:r>
        <w:rPr>
          <w:rStyle w:val="CharStyle12"/>
        </w:rPr>
        <w:t>В жалобе заявитель указал, что описание объекта закупки составлено с нарушениями требований Закона о контрактной системе в сфере закупок, а именно: в результате проведённого анализа нормативно-справочной документации установлено несоответствие всех имеющихся изделий параметрам предусмотренным описанием объекта закупки, что делает невозможным подать заявку на участие в закупке.</w:t>
      </w:r>
    </w:p>
    <w:tbl>
      <w:tblPr>
        <w:tblOverlap w:val="never"/>
        <w:jc w:val="center"/>
        <w:tblLayout w:type="fixed"/>
      </w:tblPr>
      <w:tblGrid>
        <w:gridCol w:w="3163"/>
        <w:gridCol w:w="2506"/>
        <w:gridCol w:w="2429"/>
        <w:gridCol w:w="2472"/>
      </w:tblGrid>
      <w:tr>
        <w:trPr>
          <w:trHeight w:val="8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Единица измерения</w:t>
            </w:r>
          </w:p>
        </w:tc>
      </w:tr>
      <w:tr>
        <w:trPr>
          <w:trHeight w:val="21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Катетер баллонный для коронарной ангиопластики, стандартный идентификатор:2119744 </w:t>
            </w:r>
            <w:r>
              <w:rPr>
                <w:rStyle w:val="CharStyle3"/>
                <w:lang w:val="en-US" w:eastAsia="en-US"/>
              </w:rPr>
              <w:t>02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>32.50.13.110</w:t>
              <w:softHyphen/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>001440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штука</w:t>
            </w:r>
          </w:p>
        </w:tc>
      </w:tr>
    </w:tbl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645"/>
        <w:gridCol w:w="2640"/>
        <w:gridCol w:w="2640"/>
        <w:gridCol w:w="2645"/>
      </w:tblGrid>
      <w:tr>
        <w:trPr>
          <w:trHeight w:val="15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Единица измерения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13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Инструкция</w:t>
              <w:tab/>
              <w:t>по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заполнению характеристики в заявке</w:t>
            </w:r>
          </w:p>
        </w:tc>
      </w:tr>
      <w:tr>
        <w:trPr>
          <w:trHeight w:val="18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Длина баллона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 xml:space="preserve">≥ 14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8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Диаметр баллона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 xml:space="preserve">≥ 2.75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30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70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Рабочая</w:t>
              <w:tab/>
              <w:t>длина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катетера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>≥ 135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сантиметр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Участник закупки указывает в заявке конкретное значение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645"/>
        <w:gridCol w:w="2640"/>
        <w:gridCol w:w="2640"/>
        <w:gridCol w:w="2645"/>
      </w:tblGrid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характеристики</w:t>
            </w:r>
          </w:p>
        </w:tc>
      </w:tr>
      <w:tr>
        <w:trPr>
          <w:trHeight w:val="14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Гидрофильное покрытие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8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Номинальное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давление разрыва баллона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>≥ 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Физическая атмосфера </w:t>
            </w:r>
            <w:r>
              <w:rPr>
                <w:rStyle w:val="CharStyle3"/>
                <w:lang w:val="en-US" w:eastAsia="en-US"/>
              </w:rPr>
              <w:t xml:space="preserve">(101325 </w:t>
            </w:r>
            <w:r>
              <w:rPr>
                <w:rStyle w:val="CharStyle3"/>
              </w:rPr>
              <w:t>Па)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4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5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</w:t>
              <w:tab/>
              <w:t>баллона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(система доставки)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Монорельсовый (быстрая замена)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8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Диаметр проксимального шафта,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 xml:space="preserve">≥ 0.63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0.65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8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Диаметр дистального шафта,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 xml:space="preserve">≥0.81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0.89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4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Совместимость с проводником в диаметре,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>0.36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18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Номинальное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давление раскрытия баллона атмосфер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 xml:space="preserve">≥ 6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182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Длина </w:t>
            </w:r>
            <w:r>
              <w:rPr>
                <w:rStyle w:val="CharStyle3"/>
                <w:lang w:val="en-US" w:eastAsia="en-US"/>
              </w:rPr>
              <w:t xml:space="preserve">RX </w:t>
            </w:r>
            <w:r>
              <w:rPr>
                <w:rStyle w:val="CharStyle3"/>
              </w:rPr>
              <w:t>сегмента, см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lang w:val="en-US" w:eastAsia="en-US"/>
              </w:rPr>
              <w:t xml:space="preserve">≥ 21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23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сантиметр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Участник закупки указывает в заявке конкретное значение характеристики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>В силу изложенного, заявитель просит признать жалобу обоснованной признать заказчика нарушившим требования законодательства о контрактной системе в сфере закупок, выдать заказчику предписание об устранении допущенных нарушений.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  <w:b/>
          <w:bCs/>
        </w:rPr>
        <w:t xml:space="preserve">Представитель заказчика </w:t>
      </w:r>
      <w:r>
        <w:rPr>
          <w:rStyle w:val="CharStyle12"/>
        </w:rPr>
        <w:t xml:space="preserve">пояснил, что описанию объекта закупки соответствует товар двух производителей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Катетеры баллонные </w:t>
      </w:r>
      <w:r>
        <w:rPr>
          <w:rStyle w:val="CharStyle12"/>
          <w:lang w:val="en-US" w:eastAsia="en-US"/>
        </w:rPr>
        <w:t xml:space="preserve">Clever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Conic One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2013/1333 </w:t>
      </w:r>
      <w:r>
        <w:rPr>
          <w:rStyle w:val="CharStyle12"/>
        </w:rPr>
        <w:t xml:space="preserve">(Швейцария); Катетер баллонный </w:t>
      </w:r>
      <w:r>
        <w:rPr>
          <w:rStyle w:val="CharStyle12"/>
          <w:lang w:val="en-US" w:eastAsia="en-US"/>
        </w:rPr>
        <w:t xml:space="preserve">ADVA GLIDE </w:t>
      </w:r>
      <w:r>
        <w:rPr>
          <w:rStyle w:val="CharStyle12"/>
        </w:rPr>
        <w:t xml:space="preserve">по ТУ </w:t>
      </w:r>
      <w:r>
        <w:rPr>
          <w:rStyle w:val="CharStyle12"/>
          <w:lang w:val="en-US" w:eastAsia="en-US"/>
        </w:rPr>
        <w:t>32.50.13-018</w:t>
        <w:softHyphen/>
        <w:t xml:space="preserve">60873993-2025 </w:t>
      </w:r>
      <w:r>
        <w:rPr>
          <w:rStyle w:val="CharStyle12"/>
        </w:rPr>
        <w:t xml:space="preserve">модель </w:t>
      </w:r>
      <w:r>
        <w:rPr>
          <w:rStyle w:val="CharStyle12"/>
          <w:lang w:val="en-US" w:eastAsia="en-US"/>
        </w:rPr>
        <w:t xml:space="preserve">SC/NC </w:t>
      </w:r>
      <w:r>
        <w:rPr>
          <w:rStyle w:val="CharStyle12"/>
        </w:rPr>
        <w:t>(Индия).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Кроме того, заказчик при составлении документации допустил техническую ошибку в части установления значений для параметра «Длина </w:t>
      </w:r>
      <w:r>
        <w:rPr>
          <w:rStyle w:val="CharStyle12"/>
          <w:lang w:val="en-US" w:eastAsia="en-US"/>
        </w:rPr>
        <w:t xml:space="preserve">RX </w:t>
      </w:r>
      <w:r>
        <w:rPr>
          <w:rStyle w:val="CharStyle12"/>
        </w:rPr>
        <w:t>сегмента, см» и таким образом под технические характеристики подходит катетер баллонный только одного производителя.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 основании изложенного, представитель заказчика просит внести соответствующие изменения в техническое задание по указанной позиции.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b/>
          <w:bCs/>
        </w:rPr>
        <w:t xml:space="preserve">Заслушав мнения сторон, изучив представленные документы, исследовав доказательства сторон в рамках внеплановой проверки, проведенной в соответствии с пунктом </w:t>
      </w:r>
      <w:r>
        <w:rPr>
          <w:rStyle w:val="CharStyle12"/>
          <w:b/>
          <w:bCs/>
          <w:lang w:val="en-US" w:eastAsia="en-US"/>
        </w:rPr>
        <w:t xml:space="preserve">1 </w:t>
      </w:r>
      <w:r>
        <w:rPr>
          <w:rStyle w:val="CharStyle12"/>
          <w:b/>
          <w:bCs/>
        </w:rPr>
        <w:t xml:space="preserve">частью </w:t>
      </w:r>
      <w:r>
        <w:rPr>
          <w:rStyle w:val="CharStyle12"/>
          <w:b/>
          <w:bCs/>
          <w:lang w:val="en-US" w:eastAsia="en-US"/>
        </w:rPr>
        <w:t xml:space="preserve">15 </w:t>
      </w:r>
      <w:r>
        <w:rPr>
          <w:rStyle w:val="CharStyle12"/>
          <w:b/>
          <w:bCs/>
        </w:rPr>
        <w:t xml:space="preserve">статьи </w:t>
      </w:r>
      <w:r>
        <w:rPr>
          <w:rStyle w:val="CharStyle12"/>
          <w:b/>
          <w:bCs/>
          <w:lang w:val="en-US" w:eastAsia="en-US"/>
        </w:rPr>
        <w:t xml:space="preserve">99 </w:t>
      </w:r>
      <w:r>
        <w:rPr>
          <w:rStyle w:val="CharStyle12"/>
          <w:b/>
          <w:bCs/>
        </w:rPr>
        <w:t>Закона о контрактной системе, Комиссия пришла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lang w:val="en-US" w:eastAsia="en-US"/>
        </w:rPr>
        <w:t xml:space="preserve">20.04.2026 </w:t>
      </w:r>
      <w:r>
        <w:rPr>
          <w:rStyle w:val="CharStyle12"/>
        </w:rPr>
        <w:t xml:space="preserve">в единой информационной системе в сфере закупок было размещено извещение о проведении запроса котировок в электронной форме на для РСЦ (катетер баллонный) для нужд ГБУЗ ВО «АРБ» </w:t>
      </w:r>
      <w:r>
        <w:rPr>
          <w:rStyle w:val="CharStyle12"/>
          <w:lang w:val="en-US" w:eastAsia="en-US"/>
        </w:rPr>
        <w:t xml:space="preserve">(№ </w:t>
      </w:r>
      <w:r>
        <w:rPr>
          <w:rStyle w:val="CharStyle12"/>
        </w:rPr>
        <w:t xml:space="preserve">закупки </w:t>
      </w:r>
      <w:r>
        <w:rPr>
          <w:rStyle w:val="CharStyle12"/>
          <w:lang w:val="en-US" w:eastAsia="en-US"/>
        </w:rPr>
        <w:t>0328300068926000142).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Начальная (максимальная) цена контракта: </w:t>
      </w:r>
      <w:r>
        <w:rPr>
          <w:rStyle w:val="CharStyle12"/>
          <w:lang w:val="en-US" w:eastAsia="en-US"/>
        </w:rPr>
        <w:t xml:space="preserve">727 320 </w:t>
      </w:r>
      <w:r>
        <w:rPr>
          <w:rStyle w:val="CharStyle12"/>
        </w:rPr>
        <w:t xml:space="preserve">руб. </w:t>
      </w:r>
      <w:r>
        <w:rPr>
          <w:rStyle w:val="CharStyle12"/>
          <w:lang w:val="en-US" w:eastAsia="en-US"/>
        </w:rPr>
        <w:t xml:space="preserve">00 </w:t>
      </w:r>
      <w:r>
        <w:rPr>
          <w:rStyle w:val="CharStyle12"/>
        </w:rPr>
        <w:t>коп.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В соответствии с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ч.2 ст.42 Закона о контрактной системе в сфере закупок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</w:t>
      </w:r>
      <w:r>
        <w:rPr>
          <w:rStyle w:val="CharStyle12"/>
          <w:color w:val="0000FF"/>
        </w:rPr>
        <w:t xml:space="preserve">статьей </w:t>
      </w:r>
      <w:r>
        <w:rPr>
          <w:rStyle w:val="CharStyle12"/>
          <w:color w:val="0000FF"/>
          <w:lang w:val="en-US" w:eastAsia="en-US"/>
        </w:rPr>
        <w:t xml:space="preserve">33 </w:t>
      </w:r>
      <w:r>
        <w:rPr>
          <w:rStyle w:val="CharStyle12"/>
        </w:rPr>
        <w:t>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 xml:space="preserve">В соответствии с пунктами </w:t>
      </w:r>
      <w:r>
        <w:rPr>
          <w:rStyle w:val="CharStyle12"/>
          <w:lang w:val="en-US" w:eastAsia="en-US"/>
        </w:rPr>
        <w:t xml:space="preserve">1,2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в сфере закупок,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 фирменных наименований, патентов, полезных моделей, промышленных образцов наименование страны происхождения товара, требования к товарам, информации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>использование при составлении описания объекта закупки показателей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 работы, услуги и качественных характеристик объекта закупки, которые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предусмотрены техническими регламентами, принятыми в соответствии с законодательством Российской Федерации о техническом регулировании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 в сфере закупок описание объекта закупки в соответствии с требованиями, указанными в </w:t>
      </w:r>
      <w:r>
        <w:rPr>
          <w:rStyle w:val="CharStyle12"/>
          <w:color w:val="0000FF"/>
        </w:rPr>
        <w:t xml:space="preserve">части </w:t>
      </w:r>
      <w:r>
        <w:rPr>
          <w:rStyle w:val="CharStyle12"/>
          <w:color w:val="0000FF"/>
          <w:lang w:val="en-US" w:eastAsia="en-US"/>
        </w:rPr>
        <w:t xml:space="preserve">1 </w:t>
      </w:r>
      <w:r>
        <w:rPr>
          <w:rStyle w:val="CharStyle12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Из буквального толкования названных положений следует, что заказчики осуществляющие закупку по правилам данного закона, при описании объекта закупки должны таким образом определить требования к закупаемым товарам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80"/>
        <w:jc w:val="both"/>
      </w:pPr>
      <w:r>
        <w:rPr>
          <w:rStyle w:val="CharStyle12"/>
        </w:rPr>
        <w:t>Рассмотрев материалы дела, Комиссия установила, что совокупности технических характеристик описания объекта закупки не соответствует товар ни одного из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Представленные заказчиком доказательства отсутствия ограничения числа участников закупки, нельзя признать надлежащими, так ка они не отражают наличие полного соответствия указанных им товаров требованиям извещения о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Кроме того, в нарушение требований пункта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Правил использования каталога товаров, работ, услуг, утвержденных постановлением Правительства РФ от </w:t>
      </w:r>
      <w:r>
        <w:rPr>
          <w:rStyle w:val="CharStyle12"/>
          <w:lang w:val="en-US" w:eastAsia="en-US"/>
        </w:rPr>
        <w:t xml:space="preserve">08.02.2017 № 145 </w:t>
      </w:r>
      <w:r>
        <w:rPr>
          <w:rStyle w:val="CharStyle12"/>
        </w:rPr>
        <w:t xml:space="preserve">заказчиком не установлено обоснование применения дополнительных, отсутствующих к коде КТРУ </w:t>
      </w:r>
      <w:r>
        <w:rPr>
          <w:rStyle w:val="CharStyle12"/>
          <w:lang w:val="en-US" w:eastAsia="en-US"/>
        </w:rPr>
        <w:t xml:space="preserve">32.50.13.110-00140 </w:t>
      </w:r>
      <w:r>
        <w:rPr>
          <w:rStyle w:val="CharStyle12"/>
        </w:rPr>
        <w:t>характеристик.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Таким образом, в нарушение части </w:t>
      </w:r>
      <w:r>
        <w:rPr>
          <w:rStyle w:val="CharStyle12"/>
          <w:lang w:val="en-US" w:eastAsia="en-US"/>
        </w:rPr>
        <w:t xml:space="preserve">1,2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в сфере закупок, заказчиком ненадлежащим образом сформировано извещение о проведении данной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основании изложенного, руководствуясь частями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106, </w:t>
      </w: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15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>Закона о контрактной системе в сфере закупок, Комиссия Владимирского УФАС России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.Признать жалобу общества с ограниченной ответственностью «АНГИОВИЖН» на положения извещения о проведении запроса котировок в электронной форме на поставку расходных материалов для РСЦ (катетер баллонный) для нужд ГБУЗ ВО «АРБ» </w:t>
      </w:r>
      <w:r>
        <w:rPr>
          <w:rStyle w:val="CharStyle12"/>
          <w:lang w:val="en-US" w:eastAsia="en-US"/>
        </w:rPr>
        <w:t xml:space="preserve">(№ </w:t>
      </w:r>
      <w:r>
        <w:rPr>
          <w:rStyle w:val="CharStyle12"/>
        </w:rPr>
        <w:t xml:space="preserve">закупки </w:t>
      </w:r>
      <w:r>
        <w:rPr>
          <w:rStyle w:val="CharStyle12"/>
          <w:lang w:val="en-US" w:eastAsia="en-US"/>
        </w:rPr>
        <w:t xml:space="preserve">0328300068926000142) </w:t>
      </w:r>
      <w:r>
        <w:rPr>
          <w:rStyle w:val="CharStyle12"/>
        </w:rPr>
        <w:t>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2"/>
        </w:rPr>
        <w:t xml:space="preserve">.Признать заказчика нарушившим требования части </w:t>
      </w:r>
      <w:r>
        <w:rPr>
          <w:rStyle w:val="CharStyle12"/>
          <w:lang w:val="en-US" w:eastAsia="en-US"/>
        </w:rPr>
        <w:t xml:space="preserve">1,2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в сфере закупок.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7" w:val="left"/>
        </w:tabs>
        <w:bidi w:val="0"/>
        <w:spacing w:before="0" w:after="0" w:line="240" w:lineRule="auto"/>
        <w:ind w:left="580" w:right="0" w:firstLine="0"/>
        <w:jc w:val="both"/>
      </w:pPr>
      <w:r>
        <w:rPr>
          <w:rStyle w:val="CharStyle12"/>
          <w:lang w:val="en-US" w:eastAsia="en-US"/>
        </w:rPr>
        <w:t xml:space="preserve">. </w:t>
      </w:r>
      <w:r>
        <w:rPr>
          <w:rStyle w:val="CharStyle12"/>
        </w:rPr>
        <w:t>Выдать в отношении заказчика, единой комиссии, оператора электронной площадки предписание об устранении нарушений законодательства о контрактной системе в сфере закупок.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1" w:val="left"/>
        </w:tabs>
        <w:bidi w:val="0"/>
        <w:spacing w:before="0" w:after="280" w:line="240" w:lineRule="auto"/>
        <w:ind w:left="0" w:right="0" w:firstLine="580"/>
        <w:jc w:val="both"/>
      </w:pPr>
      <w:r>
        <w:rPr>
          <w:rStyle w:val="CharStyle12"/>
          <w:lang w:val="en-US" w:eastAsia="en-US"/>
        </w:rPr>
        <w:t xml:space="preserve">. </w:t>
      </w:r>
      <w:r>
        <w:rPr>
          <w:rStyle w:val="CharStyle12"/>
        </w:rPr>
        <w:t>Передать материалы настоящего дела о нарушении законодательства о контрактной системе в сфере закупок уполномоченному должностному лицу Владимирского УФАС России для рассмотрения вопроса о возбуждении административного производства в отношении виновных лиц.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i/>
          <w:iCs/>
        </w:rPr>
        <w:t>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2" w:right="360" w:bottom="1203" w:left="97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52730" distL="0" distR="0" simplePos="0" relativeHeight="125829380" behindDoc="0" locked="0" layoutInCell="1" allowOverlap="1">
                <wp:simplePos x="0" y="0"/>
                <wp:positionH relativeFrom="page">
                  <wp:posOffset>759460</wp:posOffset>
                </wp:positionH>
                <wp:positionV relativeFrom="paragraph">
                  <wp:posOffset>127000</wp:posOffset>
                </wp:positionV>
                <wp:extent cx="1825625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9.800000000000004pt;margin-top:10.pt;width:143.75pt;height:19.699999999999999pt;z-index:-125829373;mso-wrap-distance-left:0;mso-wrap-distance-top:10.pt;mso-wrap-distance-right:0;mso-wrap-distance-bottom:19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3680" distB="0" distL="0" distR="1786255" simplePos="0" relativeHeight="125829382" behindDoc="0" locked="0" layoutInCell="1" allowOverlap="1">
            <wp:simplePos x="0" y="0"/>
            <wp:positionH relativeFrom="page">
              <wp:posOffset>2688590</wp:posOffset>
            </wp:positionH>
            <wp:positionV relativeFrom="paragraph">
              <wp:posOffset>233680</wp:posOffset>
            </wp:positionV>
            <wp:extent cx="359410" cy="3962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3108960</wp:posOffset>
                </wp:positionH>
                <wp:positionV relativeFrom="paragraph">
                  <wp:posOffset>321945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4.80000000000001pt;margin-top:25.35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52730" distL="0" distR="0" simplePos="0" relativeHeight="125829383" behindDoc="0" locked="0" layoutInCell="1" allowOverlap="1">
                <wp:simplePos x="0" y="0"/>
                <wp:positionH relativeFrom="page">
                  <wp:posOffset>6239510</wp:posOffset>
                </wp:positionH>
                <wp:positionV relativeFrom="paragraph">
                  <wp:posOffset>127000</wp:posOffset>
                </wp:positionV>
                <wp:extent cx="96647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М.В. Фомин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1.30000000000001pt;margin-top:10.pt;width:76.100000000000009pt;height:19.699999999999999pt;z-index:-125829370;mso-wrap-distance-left:0;mso-wrap-distance-top:10.pt;mso-wrap-distance-right:0;mso-wrap-distance-bottom:19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М.В. Фомин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6"/>
          <w:color w:val="FFFFFF"/>
          <w:sz w:val="11"/>
          <w:szCs w:val="11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Фомин Максим Валерьевич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</w:rPr>
        <w:t>0082571</w:t>
      </w:r>
      <w:r>
        <w:rPr>
          <w:rStyle w:val="CharStyle26"/>
          <w:lang w:val="en-US" w:eastAsia="en-US"/>
        </w:rPr>
        <w:t>FE360703F94BE9662CCFB38D938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</w:pPr>
      <w:r>
        <w:rPr>
          <w:rStyle w:val="CharStyle26"/>
        </w:rPr>
        <w:t xml:space="preserve">Действителен с 24.09.2025 </w:t>
      </w:r>
      <w:r>
        <w:rPr>
          <w:rStyle w:val="CharStyle26"/>
          <w:color w:val="5C5C5C"/>
        </w:rPr>
        <w:t xml:space="preserve">по </w:t>
      </w:r>
      <w:r>
        <w:rPr>
          <w:rStyle w:val="CharStyle26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2441" w:left="109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340995" distL="0" distR="0" simplePos="0" relativeHeight="125829385" behindDoc="0" locked="0" layoutInCell="1" allowOverlap="1">
                <wp:simplePos x="0" y="0"/>
                <wp:positionH relativeFrom="page">
                  <wp:posOffset>756285</wp:posOffset>
                </wp:positionH>
                <wp:positionV relativeFrom="paragraph">
                  <wp:posOffset>50800</wp:posOffset>
                </wp:positionV>
                <wp:extent cx="134429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9.550000000000004pt;margin-top:4.pt;width:105.85000000000001pt;height:19.699999999999999pt;z-index:-125829368;mso-wrap-distance-left:0;mso-wrap-distance-top:4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0650" distB="0" distL="0" distR="1786255" simplePos="0" relativeHeight="125829387" behindDoc="0" locked="0" layoutInCell="1" allowOverlap="1">
            <wp:simplePos x="0" y="0"/>
            <wp:positionH relativeFrom="page">
              <wp:posOffset>2673350</wp:posOffset>
            </wp:positionH>
            <wp:positionV relativeFrom="paragraph">
              <wp:posOffset>120650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3133725</wp:posOffset>
                </wp:positionH>
                <wp:positionV relativeFrom="paragraph">
                  <wp:posOffset>525780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6.75pt;margin-top:41.3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3093720</wp:posOffset>
                </wp:positionH>
                <wp:positionV relativeFrom="paragraph">
                  <wp:posOffset>208915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3.59999999999999pt;margin-top:16.4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340995" distL="0" distR="0" simplePos="0" relativeHeight="125829388" behindDoc="0" locked="0" layoutInCell="1" allowOverlap="1">
                <wp:simplePos x="0" y="0"/>
                <wp:positionH relativeFrom="page">
                  <wp:posOffset>6105525</wp:posOffset>
                </wp:positionH>
                <wp:positionV relativeFrom="paragraph">
                  <wp:posOffset>50800</wp:posOffset>
                </wp:positionV>
                <wp:extent cx="110045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Д.В. Миронов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0.75pt;margin-top:4.pt;width:86.650000000000006pt;height:19.699999999999999pt;z-index:-125829365;mso-wrap-distance-left:0;mso-wrap-distance-top:4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Д.В. Миронов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МИРОНОВ ДМИТРИЙ ВАСИЛЬЕВИЧ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00AF2CD2D8CA91780D4FC4E65EDE06044'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6"/>
        </w:rPr>
        <w:t xml:space="preserve">Действителен с 24.09.2025 </w:t>
      </w:r>
      <w:r>
        <w:rPr>
          <w:rStyle w:val="CharStyle26"/>
          <w:color w:val="5C5C5C"/>
        </w:rPr>
        <w:t xml:space="preserve">по </w:t>
      </w:r>
      <w:r>
        <w:rPr>
          <w:rStyle w:val="CharStyle26"/>
        </w:rPr>
        <w:t>18.12.2026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2673350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3093720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3.59999999999999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Ю.Ю. Рогозина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6"/>
          <w:color w:val="FFFFFF"/>
          <w:sz w:val="11"/>
          <w:szCs w:val="11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Рогозина Юлия Юрьевна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4BB0B9CFAC3EA1B21E4404918A149FDC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right="0" w:firstLine="0"/>
        <w:jc w:val="left"/>
      </w:pPr>
      <w:r>
        <w:rPr>
          <w:rStyle w:val="CharStyle26"/>
        </w:rPr>
        <w:t xml:space="preserve">Действителен с 17.04.2025 </w:t>
      </w:r>
      <w:r>
        <w:rPr>
          <w:rStyle w:val="CharStyle26"/>
          <w:color w:val="5C5C5C"/>
        </w:rPr>
        <w:t>по 1</w:t>
      </w:r>
      <w:r>
        <w:rPr>
          <w:rStyle w:val="CharStyle26"/>
        </w:rPr>
        <w:t>1.07.2026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Исп.Рогозина Ю.Ю.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тел.53-39-54, вн. 033-102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09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688975</wp:posOffset>
              </wp:positionH>
              <wp:positionV relativeFrom="page">
                <wp:posOffset>10019030</wp:posOffset>
              </wp:positionV>
              <wp:extent cx="64643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2026-2369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4.25pt;margin-top:788.89999999999998pt;width:50.89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2026-2369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4643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2026-2369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70000000000005pt;width:50.899999999999999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2026-2369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Heading #1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