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02"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02" w:lineRule="auto"/>
        <w:ind w:left="0" w:right="0" w:firstLine="0"/>
        <w:jc w:val="center"/>
      </w:pPr>
      <w:r>
        <w:rPr>
          <w:rStyle w:val="CharStyle9"/>
          <w:b/>
          <w:bCs/>
        </w:rPr>
        <w:t>Федеральной антимонопольной службы</w:t>
        <w:br/>
        <w:t>по Магаданской области</w:t>
      </w:r>
    </w:p>
    <w:p>
      <w:pPr>
        <w:pStyle w:val="Style8"/>
        <w:keepNext w:val="0"/>
        <w:keepLines w:val="0"/>
        <w:widowControl w:val="0"/>
        <w:shd w:val="clear" w:color="auto" w:fill="auto"/>
        <w:bidi w:val="0"/>
        <w:spacing w:before="0" w:after="240" w:line="240" w:lineRule="auto"/>
        <w:ind w:left="0" w:right="0" w:firstLine="0"/>
        <w:jc w:val="center"/>
      </w:pPr>
      <w:r>
        <w:rPr>
          <w:rStyle w:val="CharStyle9"/>
          <w:b/>
          <w:bCs/>
        </w:rPr>
        <w:t>(Магаданское УФАС России)</w:t>
      </w:r>
    </w:p>
    <w:p>
      <w:pPr>
        <w:pStyle w:val="Style5"/>
        <w:keepNext w:val="0"/>
        <w:keepLines w:val="0"/>
        <w:widowControl w:val="0"/>
        <w:shd w:val="clear" w:color="auto" w:fill="auto"/>
        <w:bidi w:val="0"/>
        <w:spacing w:before="0" w:after="0"/>
        <w:ind w:left="0" w:right="0" w:firstLine="0"/>
        <w:jc w:val="center"/>
      </w:pPr>
      <w:r>
        <w:rPr>
          <w:rStyle w:val="CharStyle6"/>
        </w:rPr>
        <w:t>пр-кт Ленина, 28 Б, г. Магадан, 685000</w:t>
        <w:br/>
        <w:t>тел. (4132) 60-71-88, факс (4132) 62-77-74</w:t>
        <w:br/>
      </w:r>
      <w:r>
        <w:rPr>
          <w:rStyle w:val="CharStyle6"/>
          <w:lang w:val="en-US" w:eastAsia="en-US"/>
        </w:rPr>
        <w:t xml:space="preserve">e-mail: </w:t>
      </w:r>
      <w:r>
        <w:fldChar w:fldCharType="begin"/>
      </w:r>
      <w:r>
        <w:rPr/>
        <w:instrText> HYPERLINK "mailto:to49@fas.gov.ru" </w:instrText>
      </w:r>
      <w:r>
        <w:fldChar w:fldCharType="separate"/>
      </w:r>
      <w:r>
        <w:rPr>
          <w:rStyle w:val="CharStyle6"/>
          <w:lang w:val="en-US" w:eastAsia="en-US"/>
        </w:rPr>
        <w:t>to49@fas.gov.ru</w:t>
      </w:r>
      <w:r>
        <w:fldChar w:fldCharType="end"/>
      </w:r>
    </w:p>
    <w:p>
      <w:pPr>
        <w:pStyle w:val="Style10"/>
        <w:keepNext w:val="0"/>
        <w:keepLines w:val="0"/>
        <w:widowControl w:val="0"/>
        <w:shd w:val="clear" w:color="auto" w:fill="auto"/>
        <w:tabs>
          <w:tab w:pos="1814" w:val="left"/>
        </w:tabs>
        <w:bidi w:val="0"/>
        <w:spacing w:before="0" w:line="240" w:lineRule="auto"/>
        <w:ind w:left="0" w:right="0" w:firstLine="0"/>
        <w:jc w:val="center"/>
      </w:pPr>
      <w:r>
        <w:rPr>
          <w:rStyle w:val="CharStyle11"/>
        </w:rPr>
        <w:t>1</w:t>
      </w:r>
      <w:r>
        <w:fldChar w:fldCharType="begin"/>
      </w:r>
      <w:r>
        <w:rPr/>
        <w:instrText> HYPERLINK "file://f207ca94-a13c-4ba0-b72d-f018c9eed8f1/" </w:instrText>
      </w:r>
      <w:r>
        <w:fldChar w:fldCharType="separate"/>
      </w:r>
      <w:r>
        <w:rPr>
          <w:rStyle w:val="CharStyle11"/>
        </w:rPr>
        <w:t>2.05.2026</w:t>
        <w:tab/>
      </w:r>
      <w:r>
        <w:fldChar w:fldCharType="end"/>
      </w:r>
      <w:r>
        <w:rPr>
          <w:rStyle w:val="CharStyle11"/>
        </w:rPr>
        <w:t>№ МР/1372/26</w:t>
      </w:r>
    </w:p>
    <w:p>
      <w:pPr>
        <w:pStyle w:val="Style8"/>
        <w:keepNext w:val="0"/>
        <w:keepLines w:val="0"/>
        <w:widowControl w:val="0"/>
        <w:shd w:val="clear" w:color="auto" w:fill="auto"/>
        <w:bidi w:val="0"/>
        <w:spacing w:before="0" w:after="0" w:line="264" w:lineRule="auto"/>
        <w:ind w:left="0" w:right="0" w:firstLine="0"/>
        <w:jc w:val="both"/>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Магаданское областное государственное казенное учреждение «Центр закупок Магаданской области»</w:t>
      </w:r>
    </w:p>
    <w:p>
      <w:pPr>
        <w:pStyle w:val="Style13"/>
        <w:keepNext w:val="0"/>
        <w:keepLines w:val="0"/>
        <w:widowControl w:val="0"/>
        <w:shd w:val="clear" w:color="auto" w:fill="auto"/>
        <w:bidi w:val="0"/>
        <w:spacing w:before="0" w:after="0" w:line="240" w:lineRule="auto"/>
        <w:ind w:left="0" w:right="0" w:firstLine="0"/>
        <w:jc w:val="left"/>
      </w:pPr>
      <w:r>
        <w:rPr>
          <w:rStyle w:val="CharStyle14"/>
        </w:rPr>
        <w:t>ул. Горького, д. 6, г. Магадан, 685000</w:t>
      </w:r>
    </w:p>
    <w:p>
      <w:pPr>
        <w:pStyle w:val="Style13"/>
        <w:keepNext w:val="0"/>
        <w:keepLines w:val="0"/>
        <w:widowControl w:val="0"/>
        <w:shd w:val="clear" w:color="auto" w:fill="auto"/>
        <w:bidi w:val="0"/>
        <w:spacing w:before="0" w:after="0" w:line="240" w:lineRule="auto"/>
        <w:ind w:left="0" w:right="0" w:firstLine="0"/>
        <w:jc w:val="left"/>
      </w:pPr>
      <w:r>
        <w:fldChar w:fldCharType="begin"/>
      </w:r>
      <w:r>
        <w:rPr/>
        <w:instrText> HYPERLINK "mailto:zakupki@49gov.ru" </w:instrText>
      </w:r>
      <w:r>
        <w:fldChar w:fldCharType="separate"/>
      </w:r>
      <w:r>
        <w:rPr>
          <w:rStyle w:val="CharStyle14"/>
          <w:lang w:val="en-US" w:eastAsia="en-US"/>
        </w:rPr>
        <w:t>zakupki@49gov.ru</w:t>
      </w:r>
      <w:r>
        <w:fldChar w:fldCharType="end"/>
      </w:r>
    </w:p>
    <w:p>
      <w:pPr>
        <w:pStyle w:val="Style13"/>
        <w:keepNext w:val="0"/>
        <w:keepLines w:val="0"/>
        <w:widowControl w:val="0"/>
        <w:shd w:val="clear" w:color="auto" w:fill="auto"/>
        <w:bidi w:val="0"/>
        <w:spacing w:before="0" w:after="280" w:line="240" w:lineRule="auto"/>
        <w:ind w:left="0" w:right="0" w:firstLine="0"/>
        <w:jc w:val="left"/>
      </w:pPr>
      <w:r>
        <w:fldChar w:fldCharType="begin"/>
      </w:r>
      <w:r>
        <w:rPr/>
        <w:instrText> HYPERLINK "mailto:VinartsevaSV@49gov.ru" </w:instrText>
      </w:r>
      <w:r>
        <w:fldChar w:fldCharType="separate"/>
      </w:r>
      <w:r>
        <w:rPr>
          <w:rStyle w:val="CharStyle14"/>
          <w:lang w:val="en-US" w:eastAsia="en-US"/>
        </w:rPr>
        <w:t>VinartsevaSV@49gov.ru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Государственное бюджетное учреждение здравоохранения «Магаданская областная больница»</w:t>
      </w:r>
    </w:p>
    <w:p>
      <w:pPr>
        <w:pStyle w:val="Style13"/>
        <w:keepNext w:val="0"/>
        <w:keepLines w:val="0"/>
        <w:widowControl w:val="0"/>
        <w:shd w:val="clear" w:color="auto" w:fill="auto"/>
        <w:bidi w:val="0"/>
        <w:spacing w:before="0" w:after="0" w:line="240" w:lineRule="auto"/>
        <w:ind w:left="0" w:right="0" w:firstLine="0"/>
        <w:jc w:val="left"/>
      </w:pPr>
      <w:r>
        <w:rPr>
          <w:rStyle w:val="CharStyle14"/>
        </w:rPr>
        <w:t>ул. Нагаевская, д. 40, г. Магадан, 685000</w:t>
      </w:r>
    </w:p>
    <w:p>
      <w:pPr>
        <w:pStyle w:val="Style13"/>
        <w:keepNext w:val="0"/>
        <w:keepLines w:val="0"/>
        <w:widowControl w:val="0"/>
        <w:shd w:val="clear" w:color="auto" w:fill="auto"/>
        <w:bidi w:val="0"/>
        <w:spacing w:before="0" w:after="280" w:line="240" w:lineRule="auto"/>
        <w:ind w:left="0" w:right="0" w:firstLine="0"/>
        <w:jc w:val="left"/>
      </w:pPr>
      <w:r>
        <w:fldChar w:fldCharType="begin"/>
      </w:r>
      <w:r>
        <w:rPr/>
        <w:instrText> HYPERLINK "mailto:mgdhosp@49gov.ru" </w:instrText>
      </w:r>
      <w:r>
        <w:fldChar w:fldCharType="separate"/>
      </w:r>
      <w:r>
        <w:rPr>
          <w:rStyle w:val="CharStyle14"/>
          <w:lang w:val="en-US" w:eastAsia="en-US"/>
        </w:rPr>
        <w:t>mgdhosp@49gov.ru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Общество с ограниченной ответственностью «Атлас Медикал</w:t>
      </w:r>
    </w:p>
    <w:p>
      <w:pPr>
        <w:pStyle w:val="Style13"/>
        <w:keepNext w:val="0"/>
        <w:keepLines w:val="0"/>
        <w:widowControl w:val="0"/>
        <w:shd w:val="clear" w:color="auto" w:fill="auto"/>
        <w:bidi w:val="0"/>
        <w:spacing w:before="0" w:after="0" w:line="240" w:lineRule="auto"/>
        <w:ind w:left="0" w:right="0" w:firstLine="0"/>
        <w:jc w:val="left"/>
      </w:pPr>
      <w:r>
        <w:rPr>
          <w:rStyle w:val="CharStyle14"/>
        </w:rPr>
        <w:t>Групп»</w:t>
      </w:r>
    </w:p>
    <w:p>
      <w:pPr>
        <w:pStyle w:val="Style13"/>
        <w:keepNext w:val="0"/>
        <w:keepLines w:val="0"/>
        <w:widowControl w:val="0"/>
        <w:shd w:val="clear" w:color="auto" w:fill="auto"/>
        <w:bidi w:val="0"/>
        <w:spacing w:before="0" w:after="0" w:line="240" w:lineRule="auto"/>
        <w:ind w:left="0" w:right="0" w:firstLine="0"/>
        <w:jc w:val="left"/>
      </w:pPr>
      <w:r>
        <w:rPr>
          <w:rStyle w:val="CharStyle14"/>
        </w:rPr>
        <w:t>ул. Есенина, д. 18, корп. 2, литера А, ком.</w:t>
      </w:r>
    </w:p>
    <w:p>
      <w:pPr>
        <w:pStyle w:val="Style13"/>
        <w:keepNext w:val="0"/>
        <w:keepLines w:val="0"/>
        <w:widowControl w:val="0"/>
        <w:numPr>
          <w:ilvl w:val="0"/>
          <w:numId w:val="1"/>
        </w:numPr>
        <w:shd w:val="clear" w:color="auto" w:fill="auto"/>
        <w:tabs>
          <w:tab w:pos="661" w:val="left"/>
        </w:tabs>
        <w:bidi w:val="0"/>
        <w:spacing w:before="0" w:after="0" w:line="240" w:lineRule="auto"/>
        <w:ind w:left="0" w:right="0" w:firstLine="0"/>
        <w:jc w:val="left"/>
      </w:pPr>
      <w:r>
        <w:rPr>
          <w:rStyle w:val="CharStyle14"/>
        </w:rPr>
        <w:t>раб. место 2, вн.тер.г.</w:t>
      </w:r>
    </w:p>
    <w:p>
      <w:pPr>
        <w:pStyle w:val="Style13"/>
        <w:keepNext w:val="0"/>
        <w:keepLines w:val="0"/>
        <w:widowControl w:val="0"/>
        <w:shd w:val="clear" w:color="auto" w:fill="auto"/>
        <w:bidi w:val="0"/>
        <w:spacing w:before="0" w:after="280" w:line="240" w:lineRule="auto"/>
        <w:ind w:left="0" w:right="0" w:firstLine="0"/>
        <w:jc w:val="left"/>
      </w:pPr>
      <w:r>
        <w:rPr>
          <w:rStyle w:val="CharStyle14"/>
        </w:rPr>
        <w:t xml:space="preserve">муниципальный округ Сергиевское, г. Санкт-Петербург, 194356 </w:t>
      </w:r>
      <w:r>
        <w:fldChar w:fldCharType="begin"/>
      </w:r>
      <w:r>
        <w:rPr/>
        <w:instrText> HYPERLINK "mailto:tender.amg.spb@bk.ru" </w:instrText>
      </w:r>
      <w:r>
        <w:fldChar w:fldCharType="separate"/>
      </w:r>
      <w:r>
        <w:rPr>
          <w:rStyle w:val="CharStyle14"/>
          <w:lang w:val="en-US" w:eastAsia="en-US"/>
        </w:rPr>
        <w:t>tender.amg.spb@bk.ru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ООО «РТС-тендер»</w:t>
      </w:r>
    </w:p>
    <w:p>
      <w:pPr>
        <w:pStyle w:val="Style13"/>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604" w:bottom="1159" w:left="604" w:header="0" w:footer="3" w:gutter="531"/>
          <w:pgNumType w:start="1"/>
          <w:cols w:num="2" w:space="720" w:equalWidth="0">
            <w:col w:w="4229" w:space="1042"/>
            <w:col w:w="4891"/>
          </w:cols>
          <w:noEndnote/>
          <w:titlePg/>
          <w:rtlGutter w:val="0"/>
          <w:docGrid w:linePitch="360"/>
        </w:sectPr>
      </w:pPr>
      <w:r>
        <w:fldChar w:fldCharType="begin"/>
      </w:r>
      <w:r>
        <w:rPr/>
        <w:instrText> HYPERLINK "mailto:ko@rts-tender.ru" </w:instrText>
      </w:r>
      <w:r>
        <w:fldChar w:fldCharType="separate"/>
      </w:r>
      <w:r>
        <w:rPr>
          <w:rStyle w:val="CharStyle14"/>
          <w:lang w:val="en-US" w:eastAsia="en-US"/>
        </w:rPr>
        <w:t>ko@rts-tender.ru</w:t>
      </w:r>
      <w:r>
        <w:fldChar w:fldCharType="end"/>
      </w:r>
    </w:p>
    <w:p>
      <w:pPr>
        <w:widowControl w:val="0"/>
        <w:spacing w:line="240" w:lineRule="exact"/>
        <w:rPr>
          <w:sz w:val="19"/>
          <w:szCs w:val="19"/>
        </w:rPr>
      </w:pP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67" w:right="0" w:bottom="771" w:left="0" w:header="0" w:footer="3" w:gutter="0"/>
          <w:cols w:space="720"/>
          <w:noEndnote/>
          <w:rtlGutter w:val="0"/>
          <w:docGrid w:linePitch="360"/>
        </w:sectPr>
      </w:pPr>
    </w:p>
    <w:p>
      <w:pPr>
        <w:pStyle w:val="Style13"/>
        <w:keepNext w:val="0"/>
        <w:keepLines w:val="0"/>
        <w:widowControl w:val="0"/>
        <w:shd w:val="clear" w:color="auto" w:fill="auto"/>
        <w:bidi w:val="0"/>
        <w:spacing w:before="0" w:after="280" w:line="240" w:lineRule="auto"/>
        <w:ind w:left="0" w:right="0" w:firstLine="0"/>
        <w:jc w:val="center"/>
      </w:pPr>
      <w:r>
        <w:rPr>
          <w:rStyle w:val="CharStyle14"/>
          <w:b/>
          <w:bCs/>
        </w:rPr>
        <w:t>РЕШЕНИЕ</w:t>
        <w:br/>
        <w:t>по делу № 049/06/105-212/2026</w:t>
      </w:r>
    </w:p>
    <w:p>
      <w:pPr>
        <w:pStyle w:val="Style13"/>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margin">
                  <wp:posOffset>41910</wp:posOffset>
                </wp:positionH>
                <wp:positionV relativeFrom="paragraph">
                  <wp:posOffset>12700</wp:posOffset>
                </wp:positionV>
                <wp:extent cx="792480" cy="240665"/>
                <wp:wrapSquare wrapText="right"/>
                <wp:docPr id="8" name="Shape 8"/>
                <a:graphic xmlns:a="http://schemas.openxmlformats.org/drawingml/2006/main">
                  <a:graphicData uri="http://schemas.microsoft.com/office/word/2010/wordprocessingShape">
                    <wps:wsp>
                      <wps:cNvSpPr txBox="1"/>
                      <wps:spPr>
                        <a:xfrm>
                          <a:ext cx="792480" cy="2406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06.05.2026</w:t>
                            </w:r>
                          </w:p>
                        </w:txbxContent>
                      </wps:txbx>
                      <wps:bodyPr wrap="none" lIns="0" tIns="0" rIns="0" bIns="0">
                        <a:noAutoFit/>
                      </wps:bodyPr>
                    </wps:wsp>
                  </a:graphicData>
                </a:graphic>
              </wp:anchor>
            </w:drawing>
          </mc:Choice>
          <mc:Fallback>
            <w:pict>
              <v:shape id="_x0000_s1034" type="#_x0000_t202" style="position:absolute;margin-left:3.3000000000000003pt;margin-top:1.pt;width:62.399999999999999pt;height:18.949999999999999pt;z-index:-125829375;mso-wrap-distance-left:9.pt;mso-wrap-distance-right:9.pt;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06.05.2026</w:t>
                      </w:r>
                    </w:p>
                  </w:txbxContent>
                </v:textbox>
                <w10:wrap type="square" side="right" anchorx="margin"/>
              </v:shape>
            </w:pict>
          </mc:Fallback>
        </mc:AlternateContent>
      </w:r>
      <w:r>
        <w:rPr>
          <w:rStyle w:val="CharStyle14"/>
        </w:rPr>
        <w:t>г. Магадан</w:t>
      </w:r>
    </w:p>
    <w:p>
      <w:pPr>
        <w:pStyle w:val="Style18"/>
        <w:keepNext w:val="0"/>
        <w:keepLines w:val="0"/>
        <w:widowControl w:val="0"/>
        <w:shd w:val="clear" w:color="auto" w:fill="auto"/>
        <w:bidi w:val="0"/>
        <w:spacing w:before="0" w:after="0" w:line="240" w:lineRule="auto"/>
        <w:ind w:left="0" w:right="0" w:firstLine="0"/>
        <w:jc w:val="both"/>
      </w:pPr>
      <w:r>
        <w:rPr>
          <w:rStyle w:val="CharStyle19"/>
        </w:rPr>
        <w:t>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нужд в составе:</w:t>
      </w:r>
    </w:p>
    <w:p>
      <w:pPr>
        <w:pStyle w:val="Style18"/>
        <w:keepNext w:val="0"/>
        <w:keepLines w:val="0"/>
        <w:widowControl w:val="0"/>
        <w:shd w:val="clear" w:color="auto" w:fill="auto"/>
        <w:bidi w:val="0"/>
        <w:spacing w:before="0" w:after="0" w:line="240" w:lineRule="auto"/>
        <w:ind w:left="10" w:right="0" w:firstLine="0"/>
        <w:jc w:val="left"/>
      </w:pPr>
      <w:r>
        <w:rPr>
          <w:rStyle w:val="CharStyle19"/>
        </w:rPr>
        <w:t>Председатель Комиссии:</w:t>
      </w:r>
    </w:p>
    <w:tbl>
      <w:tblPr>
        <w:tblOverlap w:val="never"/>
        <w:jc w:val="center"/>
        <w:tblLayout w:type="fixed"/>
      </w:tblPr>
      <w:tblGrid>
        <w:gridCol w:w="2846"/>
        <w:gridCol w:w="7469"/>
      </w:tblGrid>
      <w:tr>
        <w:trPr>
          <w:trHeight w:val="614"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pPr>
            <w:r>
              <w:rPr>
                <w:rStyle w:val="CharStyle16"/>
              </w:rPr>
              <w:t>Романенко М.А.</w:t>
            </w:r>
          </w:p>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140"/>
              <w:jc w:val="left"/>
            </w:pPr>
            <w:r>
              <w:rPr>
                <w:rStyle w:val="CharStyle16"/>
              </w:rPr>
              <w:t>- руководитель управления;</w:t>
            </w:r>
          </w:p>
        </w:tc>
      </w:tr>
      <w:tr>
        <w:trPr>
          <w:trHeight w:val="629"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pPr>
            <w:r>
              <w:rPr>
                <w:rStyle w:val="CharStyle16"/>
              </w:rPr>
              <w:t>Ващенко Е.С.</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140" w:right="0" w:firstLine="0"/>
              <w:jc w:val="left"/>
            </w:pPr>
            <w:r>
              <w:rPr>
                <w:rStyle w:val="CharStyle16"/>
              </w:rPr>
              <w:t>- и.о. начальника отдела контроля закупок и торгов;</w:t>
            </w:r>
          </w:p>
        </w:tc>
      </w:tr>
      <w:tr>
        <w:trPr>
          <w:trHeight w:val="298"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Наумченко А.А.</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140" w:right="0" w:firstLine="0"/>
              <w:jc w:val="left"/>
            </w:pPr>
            <w:r>
              <w:rPr>
                <w:rStyle w:val="CharStyle16"/>
              </w:rPr>
              <w:t>- ведущий специалист-эксперт отдела контроля</w:t>
            </w:r>
          </w:p>
        </w:tc>
      </w:tr>
    </w:tbl>
    <w:p>
      <w:pPr>
        <w:pStyle w:val="Style18"/>
        <w:keepNext w:val="0"/>
        <w:keepLines w:val="0"/>
        <w:widowControl w:val="0"/>
        <w:shd w:val="clear" w:color="auto" w:fill="auto"/>
        <w:bidi w:val="0"/>
        <w:spacing w:before="0" w:after="0" w:line="240" w:lineRule="auto"/>
        <w:ind w:left="0" w:right="0" w:firstLine="0"/>
        <w:jc w:val="left"/>
      </w:pPr>
      <w:r>
        <w:rPr>
          <w:rStyle w:val="CharStyle19"/>
        </w:rPr>
        <w:t>закупок и торгов,</w:t>
      </w:r>
    </w:p>
    <w:p>
      <w:pPr>
        <w:pStyle w:val="Style18"/>
        <w:keepNext w:val="0"/>
        <w:keepLines w:val="0"/>
        <w:widowControl w:val="0"/>
        <w:shd w:val="clear" w:color="auto" w:fill="auto"/>
        <w:bidi w:val="0"/>
        <w:spacing w:before="0" w:after="0" w:line="240" w:lineRule="auto"/>
        <w:ind w:left="0" w:right="0" w:firstLine="0"/>
        <w:jc w:val="left"/>
      </w:pPr>
      <w:r>
        <w:rPr>
          <w:rStyle w:val="CharStyle19"/>
        </w:rPr>
        <w:t>при участии представителей Магаданского областного государственного казенного</w:t>
      </w:r>
    </w:p>
    <w:p>
      <w:pPr>
        <w:widowControl w:val="0"/>
        <w:spacing w:after="359" w:line="1" w:lineRule="exact"/>
      </w:pPr>
    </w:p>
    <w:p>
      <w:pPr>
        <w:pStyle w:val="Style24"/>
        <w:keepNext w:val="0"/>
        <w:keepLines w:val="0"/>
        <w:widowControl w:val="0"/>
        <w:shd w:val="clear" w:color="auto" w:fill="auto"/>
        <w:bidi w:val="0"/>
        <w:spacing w:before="0" w:line="240" w:lineRule="auto"/>
        <w:ind w:left="0" w:right="0" w:firstLine="0"/>
        <w:jc w:val="left"/>
      </w:pPr>
      <w:r>
        <w:rPr>
          <w:rStyle w:val="CharStyle25"/>
        </w:rPr>
        <w:t>1IIIIIIIIIIIIIIIIIIIIIII</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учреждения «Центр закупок Магаданской области» (далее </w:t>
      </w:r>
      <w:r>
        <w:rPr>
          <w:rStyle w:val="CharStyle14"/>
          <w:lang w:val="en-US" w:eastAsia="en-US"/>
        </w:rPr>
        <w:t xml:space="preserve">– </w:t>
      </w:r>
      <w:r>
        <w:rPr>
          <w:rStyle w:val="CharStyle14"/>
        </w:rPr>
        <w:t xml:space="preserve">Уполномоченное учреждение) Роменской С.В. (дов. </w:t>
      </w:r>
      <w:r>
        <w:rPr>
          <w:rStyle w:val="CharStyle14"/>
          <w:lang w:val="en-US" w:eastAsia="en-US"/>
        </w:rPr>
        <w:t xml:space="preserve">№ 1 </w:t>
      </w:r>
      <w:r>
        <w:rPr>
          <w:rStyle w:val="CharStyle14"/>
        </w:rPr>
        <w:t xml:space="preserve">от </w:t>
      </w:r>
      <w:r>
        <w:rPr>
          <w:rStyle w:val="CharStyle14"/>
          <w:lang w:val="en-US" w:eastAsia="en-US"/>
        </w:rPr>
        <w:t xml:space="preserve">11.03.2026), </w:t>
      </w:r>
      <w:r>
        <w:rPr>
          <w:rStyle w:val="CharStyle14"/>
        </w:rPr>
        <w:t xml:space="preserve">предствителей Государственного бюджетного учреждения здравоохранения «Магаданская областная больница» (далее </w:t>
      </w:r>
      <w:r>
        <w:rPr>
          <w:rStyle w:val="CharStyle14"/>
          <w:lang w:val="en-US" w:eastAsia="en-US"/>
        </w:rPr>
        <w:t xml:space="preserve">– </w:t>
      </w:r>
      <w:r>
        <w:rPr>
          <w:rStyle w:val="CharStyle14"/>
        </w:rPr>
        <w:t xml:space="preserve">Заказчик) Хамхоевой З.Б. (дов. </w:t>
      </w:r>
      <w:r>
        <w:rPr>
          <w:rStyle w:val="CharStyle14"/>
          <w:lang w:val="en-US" w:eastAsia="en-US"/>
        </w:rPr>
        <w:t xml:space="preserve">№ 75 </w:t>
      </w:r>
      <w:r>
        <w:rPr>
          <w:rStyle w:val="CharStyle14"/>
        </w:rPr>
        <w:t xml:space="preserve">от </w:t>
      </w:r>
      <w:r>
        <w:rPr>
          <w:rStyle w:val="CharStyle14"/>
          <w:lang w:val="en-US" w:eastAsia="en-US"/>
        </w:rPr>
        <w:t xml:space="preserve">04.05.2026), </w:t>
      </w:r>
      <w:r>
        <w:rPr>
          <w:rStyle w:val="CharStyle14"/>
        </w:rPr>
        <w:t xml:space="preserve">Тарасенко Т.С. (дов. </w:t>
      </w:r>
      <w:r>
        <w:rPr>
          <w:rStyle w:val="CharStyle14"/>
          <w:lang w:val="en-US" w:eastAsia="en-US"/>
        </w:rPr>
        <w:t xml:space="preserve">№ 74 </w:t>
      </w:r>
      <w:r>
        <w:rPr>
          <w:rStyle w:val="CharStyle14"/>
        </w:rPr>
        <w:t xml:space="preserve">от </w:t>
      </w:r>
      <w:r>
        <w:rPr>
          <w:rStyle w:val="CharStyle14"/>
          <w:lang w:val="en-US" w:eastAsia="en-US"/>
        </w:rPr>
        <w:t xml:space="preserve">04.05.2026), </w:t>
      </w:r>
      <w:r>
        <w:rPr>
          <w:rStyle w:val="CharStyle14"/>
        </w:rPr>
        <w:t xml:space="preserve">представителя общества с ограниченной ответственностью «Атлас Медикал Групп» (далее </w:t>
      </w:r>
      <w:r>
        <w:rPr>
          <w:rStyle w:val="CharStyle14"/>
          <w:lang w:val="en-US" w:eastAsia="en-US"/>
        </w:rPr>
        <w:t xml:space="preserve">– </w:t>
      </w:r>
      <w:r>
        <w:rPr>
          <w:rStyle w:val="CharStyle14"/>
        </w:rPr>
        <w:t xml:space="preserve">Заявитель) Страхова А.С. (дов. </w:t>
      </w:r>
      <w:r>
        <w:rPr>
          <w:rStyle w:val="CharStyle14"/>
          <w:lang w:val="en-US" w:eastAsia="en-US"/>
        </w:rPr>
        <w:t xml:space="preserve">№ </w:t>
      </w:r>
      <w:r>
        <w:rPr>
          <w:rStyle w:val="CharStyle14"/>
        </w:rPr>
        <w:t xml:space="preserve">26-02/АМГ от </w:t>
      </w:r>
      <w:r>
        <w:rPr>
          <w:rStyle w:val="CharStyle14"/>
          <w:lang w:val="en-US" w:eastAsia="en-US"/>
        </w:rPr>
        <w:t xml:space="preserve">12.01.2026), </w:t>
      </w:r>
      <w:r>
        <w:rPr>
          <w:rStyle w:val="CharStyle14"/>
        </w:rPr>
        <w:t xml:space="preserve">рассмотрела жалобу Заявителя на положения извещения о закупке Уполномоченного учреждения, Заказчика при проведении запроса котировок в электронной форме «Поставка расходного материала медицинского назначения (иглы, катетеры) для нужд ГБУЗ «Магаданская областная больница» на </w:t>
      </w:r>
      <w:r>
        <w:rPr>
          <w:rStyle w:val="CharStyle14"/>
          <w:lang w:val="en-US" w:eastAsia="en-US"/>
        </w:rPr>
        <w:t xml:space="preserve">2026 </w:t>
      </w:r>
      <w:r>
        <w:rPr>
          <w:rStyle w:val="CharStyle14"/>
        </w:rPr>
        <w:t xml:space="preserve">год (Лот </w:t>
      </w:r>
      <w:r>
        <w:rPr>
          <w:rStyle w:val="CharStyle14"/>
          <w:lang w:val="en-US" w:eastAsia="en-US"/>
        </w:rPr>
        <w:t xml:space="preserve">1)» </w:t>
      </w:r>
      <w:r>
        <w:rPr>
          <w:rStyle w:val="CharStyle14"/>
        </w:rPr>
        <w:t xml:space="preserve">(реестровый номер извещения </w:t>
      </w:r>
      <w:r>
        <w:rPr>
          <w:rStyle w:val="CharStyle14"/>
          <w:lang w:val="en-US" w:eastAsia="en-US"/>
        </w:rPr>
        <w:t>0847500000926000992).</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Жалоба подана в установленный частью </w:t>
      </w:r>
      <w:r>
        <w:rPr>
          <w:rStyle w:val="CharStyle14"/>
          <w:lang w:val="en-US" w:eastAsia="en-US"/>
        </w:rPr>
        <w:t xml:space="preserve">2 </w:t>
      </w:r>
      <w:r>
        <w:rPr>
          <w:rStyle w:val="CharStyle14"/>
        </w:rPr>
        <w:t xml:space="preserve">статьи </w:t>
      </w:r>
      <w:r>
        <w:rPr>
          <w:rStyle w:val="CharStyle14"/>
          <w:lang w:val="en-US" w:eastAsia="en-US"/>
        </w:rPr>
        <w:t xml:space="preserve">105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 срок.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жалобе Заявитель указывает на несоответствие извещения о закупке требованиям законодательства о контрактной системе в части формирования лота закупки, а также на наличие в лоте закупки товара, требование к которому (многоразовое использование) противоречит техническим регламентам, стандартам безопасности и клинической практике.</w:t>
      </w:r>
    </w:p>
    <w:p>
      <w:pPr>
        <w:pStyle w:val="Style13"/>
        <w:keepNext w:val="0"/>
        <w:keepLines w:val="0"/>
        <w:widowControl w:val="0"/>
        <w:shd w:val="clear" w:color="auto" w:fill="auto"/>
        <w:bidi w:val="0"/>
        <w:spacing w:before="0" w:after="280" w:line="240" w:lineRule="auto"/>
        <w:ind w:left="0" w:right="0" w:firstLine="720"/>
        <w:jc w:val="both"/>
      </w:pPr>
      <w:r>
        <w:rPr>
          <w:rStyle w:val="CharStyle14"/>
        </w:rPr>
        <w:t xml:space="preserve">Изучив представленные документы и материалы, осуществив внеплановую проверку закупки, руководствуясь частью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Комиссия Магаданского УФАС России</w:t>
      </w:r>
    </w:p>
    <w:p>
      <w:pPr>
        <w:pStyle w:val="Style13"/>
        <w:keepNext w:val="0"/>
        <w:keepLines w:val="0"/>
        <w:widowControl w:val="0"/>
        <w:shd w:val="clear" w:color="auto" w:fill="auto"/>
        <w:bidi w:val="0"/>
        <w:spacing w:before="0" w:after="280" w:line="240" w:lineRule="auto"/>
        <w:ind w:left="0" w:right="0" w:firstLine="0"/>
        <w:jc w:val="center"/>
      </w:pPr>
      <w:r>
        <w:rPr>
          <w:rStyle w:val="CharStyle14"/>
        </w:rPr>
        <w:t>УСТАНОВИЛА:</w:t>
      </w:r>
    </w:p>
    <w:p>
      <w:pPr>
        <w:pStyle w:val="Style13"/>
        <w:keepNext w:val="0"/>
        <w:keepLines w:val="0"/>
        <w:widowControl w:val="0"/>
        <w:numPr>
          <w:ilvl w:val="0"/>
          <w:numId w:val="3"/>
        </w:numPr>
        <w:shd w:val="clear" w:color="auto" w:fill="auto"/>
        <w:tabs>
          <w:tab w:pos="1426" w:val="left"/>
        </w:tabs>
        <w:bidi w:val="0"/>
        <w:spacing w:before="0" w:after="0" w:line="240" w:lineRule="auto"/>
        <w:ind w:left="0" w:right="0" w:firstLine="720"/>
        <w:jc w:val="both"/>
      </w:pPr>
      <w:r>
        <w:rPr>
          <w:rStyle w:val="CharStyle14"/>
          <w:lang w:val="en-US" w:eastAsia="en-US"/>
        </w:rPr>
        <w:t xml:space="preserve">22.04.2026 </w:t>
      </w:r>
      <w:r>
        <w:rPr>
          <w:rStyle w:val="CharStyle14"/>
        </w:rPr>
        <w:t xml:space="preserve">Уполномоченным учреждением на официальном сайте Единой информационной </w:t>
      </w:r>
      <w:r>
        <w:rPr>
          <w:rStyle w:val="CharStyle14"/>
          <w:lang w:val="en-US" w:eastAsia="en-US"/>
        </w:rPr>
        <w:t xml:space="preserve">сиcтемы </w:t>
      </w:r>
      <w:r>
        <w:rPr>
          <w:rStyle w:val="CharStyle14"/>
        </w:rPr>
        <w:t xml:space="preserve">(далее </w:t>
      </w:r>
      <w:r>
        <w:rPr>
          <w:rStyle w:val="CharStyle14"/>
          <w:lang w:val="en-US" w:eastAsia="en-US"/>
        </w:rPr>
        <w:t xml:space="preserve">– </w:t>
      </w:r>
      <w:r>
        <w:rPr>
          <w:rStyle w:val="CharStyle14"/>
        </w:rPr>
        <w:t xml:space="preserve">ЕИС) </w:t>
      </w:r>
      <w:r>
        <w:rPr>
          <w:rStyle w:val="CharStyle14"/>
          <w:lang w:val="en-US" w:eastAsia="en-US"/>
        </w:rPr>
        <w:t>zakupki.gov.ru</w:t>
      </w:r>
      <w:r>
        <w:rPr>
          <w:rStyle w:val="CharStyle14"/>
          <w:lang w:val="en-US" w:eastAsia="en-US"/>
        </w:rPr>
        <w:t xml:space="preserve"> </w:t>
      </w:r>
      <w:r>
        <w:rPr>
          <w:rStyle w:val="CharStyle14"/>
        </w:rPr>
        <w:t xml:space="preserve">было размещено извещение о проведении запроса котировок в электронной форме «Поставка расходного материала медицинского назначения (иглы, катетеры) для нужд ГБУЗ «Магаданская областная больница» на </w:t>
      </w:r>
      <w:r>
        <w:rPr>
          <w:rStyle w:val="CharStyle14"/>
          <w:lang w:val="en-US" w:eastAsia="en-US"/>
        </w:rPr>
        <w:t xml:space="preserve">2026 </w:t>
      </w:r>
      <w:r>
        <w:rPr>
          <w:rStyle w:val="CharStyle14"/>
        </w:rPr>
        <w:t xml:space="preserve">год (Лот </w:t>
      </w:r>
      <w:r>
        <w:rPr>
          <w:rStyle w:val="CharStyle14"/>
          <w:lang w:val="en-US" w:eastAsia="en-US"/>
        </w:rPr>
        <w:t xml:space="preserve">1)» </w:t>
      </w:r>
      <w:r>
        <w:rPr>
          <w:rStyle w:val="CharStyle14"/>
        </w:rPr>
        <w:t xml:space="preserve">(реестровый номер извещения </w:t>
      </w:r>
      <w:r>
        <w:rPr>
          <w:rStyle w:val="CharStyle14"/>
          <w:lang w:val="en-US" w:eastAsia="en-US"/>
        </w:rPr>
        <w:t>0847500000926000992).</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- 7 096 345,00 </w:t>
      </w:r>
      <w:r>
        <w:rPr>
          <w:rStyle w:val="CharStyle14"/>
        </w:rPr>
        <w:t>рублей.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извещению о проведении закупки дата и время окончания подачи заявок </w:t>
      </w:r>
      <w:r>
        <w:rPr>
          <w:rStyle w:val="CharStyle14"/>
          <w:lang w:val="en-US" w:eastAsia="en-US"/>
        </w:rPr>
        <w:t xml:space="preserve">– 29.04.2026 09:00; </w:t>
      </w:r>
      <w:r>
        <w:rPr>
          <w:rStyle w:val="CharStyle14"/>
        </w:rPr>
        <w:t xml:space="preserve">дата подведения итогов определения поставщика (подрядчика, исполнителя) </w:t>
      </w:r>
      <w:r>
        <w:rPr>
          <w:rStyle w:val="CharStyle14"/>
          <w:lang w:val="en-US" w:eastAsia="en-US"/>
        </w:rPr>
        <w:t>– 04.05.2026.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протоколом подведения итогов определения поставщика (подрядчика, исполнителя) от </w:t>
      </w:r>
      <w:r>
        <w:rPr>
          <w:rStyle w:val="CharStyle14"/>
          <w:lang w:val="en-US" w:eastAsia="en-US"/>
        </w:rPr>
        <w:t xml:space="preserve">29.04.2026 </w:t>
      </w:r>
      <w:r>
        <w:rPr>
          <w:rStyle w:val="CharStyle14"/>
        </w:rPr>
        <w:t xml:space="preserve">№ИЗК1 на участие в закупке было подано </w:t>
      </w:r>
      <w:r>
        <w:rPr>
          <w:rStyle w:val="CharStyle14"/>
          <w:lang w:val="en-US" w:eastAsia="en-US"/>
        </w:rPr>
        <w:t xml:space="preserve">2 </w:t>
      </w:r>
      <w:r>
        <w:rPr>
          <w:rStyle w:val="CharStyle14"/>
        </w:rPr>
        <w:t xml:space="preserve">заявки участников с идентификационными номерами: </w:t>
      </w:r>
      <w:r>
        <w:rPr>
          <w:rStyle w:val="CharStyle14"/>
          <w:lang w:val="en-US" w:eastAsia="en-US"/>
        </w:rPr>
        <w:t xml:space="preserve">121109557, 121124852, </w:t>
      </w:r>
      <w:r>
        <w:rPr>
          <w:rStyle w:val="CharStyle14"/>
        </w:rPr>
        <w:t xml:space="preserve">признанные комиссией по осуществлению закупки соответствующими требованиям извещения. Победителем запроса котировок в электронной форме признан участник с идентификационным номером заявки </w:t>
      </w:r>
      <w:r>
        <w:rPr>
          <w:rStyle w:val="CharStyle14"/>
          <w:lang w:val="en-US" w:eastAsia="en-US"/>
        </w:rPr>
        <w:t xml:space="preserve">121108557, </w:t>
      </w:r>
      <w:r>
        <w:rPr>
          <w:rStyle w:val="CharStyle14"/>
        </w:rPr>
        <w:t xml:space="preserve">сделавший наименьшее предложение о цене контракта </w:t>
      </w:r>
      <w:r>
        <w:rPr>
          <w:rStyle w:val="CharStyle14"/>
          <w:lang w:val="en-US" w:eastAsia="en-US"/>
        </w:rPr>
        <w:t xml:space="preserve">– 6 883 000,00 </w:t>
      </w:r>
      <w:r>
        <w:rPr>
          <w:rStyle w:val="CharStyle14"/>
        </w:rPr>
        <w:t>рублей.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момент рассмотрения жалобы контракт не заключен.</w:t>
      </w:r>
    </w:p>
    <w:p>
      <w:pPr>
        <w:pStyle w:val="Style13"/>
        <w:keepNext w:val="0"/>
        <w:keepLines w:val="0"/>
        <w:widowControl w:val="0"/>
        <w:numPr>
          <w:ilvl w:val="0"/>
          <w:numId w:val="3"/>
        </w:numPr>
        <w:shd w:val="clear" w:color="auto" w:fill="auto"/>
        <w:tabs>
          <w:tab w:pos="2146" w:val="left"/>
        </w:tabs>
        <w:bidi w:val="0"/>
        <w:spacing w:before="0" w:after="280" w:line="240" w:lineRule="auto"/>
        <w:ind w:left="0" w:right="0" w:firstLine="720"/>
        <w:jc w:val="both"/>
      </w:pPr>
      <w:r>
        <w:rPr>
          <w:rStyle w:val="CharStyle14"/>
        </w:rPr>
        <w:t>Согласно доводу жалобы Заявителя, в ходе анализа технического задания</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было установлено, что, помимо прочего, объектом закупки является «Игла для биопсии костного мозга, многоразового использования» (позиция </w:t>
      </w:r>
      <w:r>
        <w:rPr>
          <w:rStyle w:val="CharStyle14"/>
          <w:lang w:val="en-US" w:eastAsia="en-US"/>
        </w:rPr>
        <w:t xml:space="preserve">16). </w:t>
      </w:r>
      <w:r>
        <w:rPr>
          <w:rStyle w:val="CharStyle14"/>
        </w:rPr>
        <w:t>По мнению Заявителя, установленное требование к товару о «многоразовом использовании» противоречит техническим регламентам, стандартам безопасности и клинической практике, т.к. специфика медицинской манипуляции по биопсии костного мозга предполагает значительную механическую нагрузку на режущую часть инструмента при прохождении через кость. Согласно медицинским стандартам и техническим характеристикам медицинских изделий данного типа, наконечник иглы подвергается необратимой деформации и затуплению (стачиванию) уже после первого применения. Таким образом, характеристика «многоразового использования» в отношении игл для биопсии костного мозга является некорректной и не соответствующей назначению изделия.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Рассмотрев указанный довод, извещение о закупке (с приложениями), представленные в материалы дела документы и пояснения, Комиссия приходит к следующему.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Закона о контрактной системе заказчик в случаях, предусмотренных настоящим Федеральным законом, при описании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Описание объекта закупки в соответствии с требованиями, указанными в части </w:t>
      </w:r>
      <w:r>
        <w:rPr>
          <w:rStyle w:val="CharStyle14"/>
          <w:lang w:val="en-US" w:eastAsia="en-US"/>
        </w:rPr>
        <w:t xml:space="preserve">1 </w:t>
      </w:r>
      <w:r>
        <w:rPr>
          <w:rStyle w:val="CharStyle14"/>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Комиссия установила, что по позиции </w:t>
      </w:r>
      <w:r>
        <w:rPr>
          <w:rStyle w:val="CharStyle14"/>
          <w:lang w:val="en-US" w:eastAsia="en-US"/>
        </w:rPr>
        <w:t xml:space="preserve">16 </w:t>
      </w:r>
      <w:r>
        <w:rPr>
          <w:rStyle w:val="CharStyle14"/>
        </w:rPr>
        <w:t xml:space="preserve">технического задания Заказчиком закупается «Игла для биопсии костного мозга, многоразового использования» (код по ОКПД2 </w:t>
      </w:r>
      <w:r>
        <w:rPr>
          <w:rStyle w:val="CharStyle14"/>
          <w:lang w:val="en-US" w:eastAsia="en-US"/>
        </w:rPr>
        <w:t>- 32.50.13.110).</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письменном возражении на жалобу (вх. </w:t>
      </w:r>
      <w:r>
        <w:rPr>
          <w:rStyle w:val="CharStyle14"/>
          <w:lang w:val="en-US" w:eastAsia="en-US"/>
        </w:rPr>
        <w:t xml:space="preserve">№ 1981/26 </w:t>
      </w:r>
      <w:r>
        <w:rPr>
          <w:rStyle w:val="CharStyle14"/>
        </w:rPr>
        <w:t xml:space="preserve">от </w:t>
      </w:r>
      <w:r>
        <w:rPr>
          <w:rStyle w:val="CharStyle14"/>
          <w:lang w:val="en-US" w:eastAsia="en-US"/>
        </w:rPr>
        <w:t xml:space="preserve">04.05.2026) </w:t>
      </w:r>
      <w:r>
        <w:rPr>
          <w:rStyle w:val="CharStyle14"/>
        </w:rPr>
        <w:t>Заказчик указал, что в Государственном реестре медицинских изделий зарегистрированы и допущены к обращению иглы для биопсии костного мозга многократного применения (например, стальные иглы типа Кассирского различных модификаций). Данные изделия изготовлены из высокопрочной медицинской стали, устойчивы к деформации при прохождении через костную ткань и рассчитаны на многократные циклы дезинфекции и стерилизации. При проведении пункции игла проходит мягкие ткани (кожу, жировую клетчатку) и прокалывается надкостница (это губчатая кость, которая не является плотной костью), поэтому затупление после первого или нескольких применений иглы из высококачественной нержавеющей медицинской стали невозможно. Количество возможных применений зависит от состояния иглы, соблюдения правил дезинфекции и</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стерилизации в соответствии с нормативами медицинского учреждения, а также от техники выполнения процедуры (чрезмерное усилие при проколе кости или неправильная техника выполнения процедуры могут привести к износу режущей кромки). Регистрационное удостоверение (РУ) </w:t>
      </w:r>
      <w:r>
        <w:rPr>
          <w:rStyle w:val="CharStyle14"/>
          <w:lang w:val="en-US" w:eastAsia="en-US"/>
        </w:rPr>
        <w:t xml:space="preserve">№ </w:t>
      </w:r>
      <w:r>
        <w:rPr>
          <w:rStyle w:val="CharStyle14"/>
        </w:rPr>
        <w:t xml:space="preserve">ФСР </w:t>
      </w:r>
      <w:r>
        <w:rPr>
          <w:rStyle w:val="CharStyle14"/>
          <w:lang w:val="en-US" w:eastAsia="en-US"/>
        </w:rPr>
        <w:t xml:space="preserve">2009/05085 </w:t>
      </w:r>
      <w:r>
        <w:rPr>
          <w:rStyle w:val="CharStyle14"/>
        </w:rPr>
        <w:t xml:space="preserve">от </w:t>
      </w:r>
      <w:r>
        <w:rPr>
          <w:rStyle w:val="CharStyle14"/>
          <w:lang w:val="en-US" w:eastAsia="en-US"/>
        </w:rPr>
        <w:t xml:space="preserve">16.10.2024, </w:t>
      </w:r>
      <w:r>
        <w:rPr>
          <w:rStyle w:val="CharStyle14"/>
        </w:rPr>
        <w:t xml:space="preserve">выписка из Государственного реестра медицинских изделий (уникальный номер реестровой записи: </w:t>
      </w:r>
      <w:r>
        <w:rPr>
          <w:rStyle w:val="CharStyle14"/>
          <w:lang w:val="en-US" w:eastAsia="en-US"/>
        </w:rPr>
        <w:t xml:space="preserve">182313), </w:t>
      </w:r>
      <w:r>
        <w:rPr>
          <w:rStyle w:val="CharStyle14"/>
        </w:rPr>
        <w:t xml:space="preserve">в составе которых зарегистрирована «игла костно-мозговая с упором Б-1,8х22 </w:t>
      </w:r>
      <w:r>
        <w:rPr>
          <w:rStyle w:val="CharStyle14"/>
          <w:lang w:val="en-US" w:eastAsia="en-US"/>
        </w:rPr>
        <w:t xml:space="preserve">30», </w:t>
      </w:r>
      <w:r>
        <w:rPr>
          <w:rStyle w:val="CharStyle14"/>
        </w:rPr>
        <w:t xml:space="preserve">производитель: АО «Медикоинструментальный завод им. В.И. Ленина», прилагаются. Также Заказчиком представлено письмо АО «Медикоинструментальный завод им. В.И. Ленина» от </w:t>
      </w:r>
      <w:r>
        <w:rPr>
          <w:rStyle w:val="CharStyle14"/>
          <w:lang w:val="en-US" w:eastAsia="en-US"/>
        </w:rPr>
        <w:t xml:space="preserve">05.05.2026 </w:t>
      </w:r>
      <w:r>
        <w:rPr>
          <w:rStyle w:val="CharStyle14"/>
        </w:rPr>
        <w:t xml:space="preserve">в котором производитель сообщает о изделие «Игла костн-мозговая с упором (Кассирского) И-16, выпускаемая по ТУ </w:t>
      </w:r>
      <w:r>
        <w:rPr>
          <w:rStyle w:val="CharStyle14"/>
          <w:lang w:val="en-US" w:eastAsia="en-US"/>
        </w:rPr>
        <w:t xml:space="preserve">9432-294-07610776-2011, </w:t>
      </w:r>
      <w:r>
        <w:rPr>
          <w:rStyle w:val="CharStyle14"/>
        </w:rPr>
        <w:t xml:space="preserve">РУ </w:t>
      </w:r>
      <w:r>
        <w:rPr>
          <w:rStyle w:val="CharStyle14"/>
          <w:lang w:val="en-US" w:eastAsia="en-US"/>
        </w:rPr>
        <w:t xml:space="preserve">№ </w:t>
      </w:r>
      <w:r>
        <w:rPr>
          <w:rStyle w:val="CharStyle14"/>
        </w:rPr>
        <w:t xml:space="preserve">ФСР </w:t>
      </w:r>
      <w:r>
        <w:rPr>
          <w:rStyle w:val="CharStyle14"/>
          <w:lang w:val="en-US" w:eastAsia="en-US"/>
        </w:rPr>
        <w:t xml:space="preserve">2009/05085 </w:t>
      </w:r>
      <w:r>
        <w:rPr>
          <w:rStyle w:val="CharStyle14"/>
        </w:rPr>
        <w:t xml:space="preserve">от </w:t>
      </w:r>
      <w:r>
        <w:rPr>
          <w:rStyle w:val="CharStyle14"/>
          <w:lang w:val="en-US" w:eastAsia="en-US"/>
        </w:rPr>
        <w:t xml:space="preserve">16.10.2024 </w:t>
      </w:r>
      <w:r>
        <w:rPr>
          <w:rStyle w:val="CharStyle14"/>
        </w:rPr>
        <w:t>является инструментом многоразового использования.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основании изложенного, довод жалобы не нашел своего подтверждения и является необоснованным.</w:t>
      </w:r>
    </w:p>
    <w:p>
      <w:pPr>
        <w:pStyle w:val="Style13"/>
        <w:keepNext w:val="0"/>
        <w:keepLines w:val="0"/>
        <w:widowControl w:val="0"/>
        <w:numPr>
          <w:ilvl w:val="1"/>
          <w:numId w:val="3"/>
        </w:numPr>
        <w:shd w:val="clear" w:color="auto" w:fill="auto"/>
        <w:tabs>
          <w:tab w:pos="1278" w:val="left"/>
        </w:tabs>
        <w:bidi w:val="0"/>
        <w:spacing w:before="0" w:after="0" w:line="240" w:lineRule="auto"/>
        <w:ind w:left="0" w:right="0" w:firstLine="720"/>
        <w:jc w:val="both"/>
      </w:pPr>
      <w:r>
        <w:rPr>
          <w:rStyle w:val="CharStyle14"/>
        </w:rPr>
        <w:t>Во втором доводе жалобы Заявитель указал, что в нарушение требований законодательства о контрактной системе в состав лота включены товары (медицинские изделия с различными НКМИ) технологически и функционально не связанные между собой, что в том числе ведет к ограничению конкуренции.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Рассмотрев указанный довод, Комиссия приходит к следующему.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2 </w:t>
      </w:r>
      <w:r>
        <w:rPr>
          <w:rStyle w:val="CharStyle14"/>
        </w:rPr>
        <w:t xml:space="preserve">части </w:t>
      </w:r>
      <w:r>
        <w:rPr>
          <w:rStyle w:val="CharStyle14"/>
          <w:lang w:val="en-US" w:eastAsia="en-US"/>
        </w:rPr>
        <w:t xml:space="preserve">29 </w:t>
      </w:r>
      <w:r>
        <w:rPr>
          <w:rStyle w:val="CharStyle14"/>
        </w:rPr>
        <w:t xml:space="preserve">статьи </w:t>
      </w:r>
      <w:r>
        <w:rPr>
          <w:rStyle w:val="CharStyle14"/>
          <w:lang w:val="en-US" w:eastAsia="en-US"/>
        </w:rPr>
        <w:t xml:space="preserve">34 </w:t>
      </w:r>
      <w:r>
        <w:rPr>
          <w:rStyle w:val="CharStyle14"/>
        </w:rPr>
        <w:t>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Постановлением Правительства РФ </w:t>
      </w:r>
      <w:r>
        <w:rPr>
          <w:rStyle w:val="CharStyle14"/>
          <w:lang w:val="en-US" w:eastAsia="en-US"/>
        </w:rPr>
        <w:t xml:space="preserve">№ 620 </w:t>
      </w:r>
      <w:r>
        <w:rPr>
          <w:rStyle w:val="CharStyle14"/>
        </w:rPr>
        <w:t xml:space="preserve">от </w:t>
      </w:r>
      <w:r>
        <w:rPr>
          <w:rStyle w:val="CharStyle14"/>
          <w:lang w:val="en-US" w:eastAsia="en-US"/>
        </w:rPr>
        <w:t xml:space="preserve">19.04.2021 </w:t>
      </w:r>
      <w:r>
        <w:rPr>
          <w:rStyle w:val="CharStyle14"/>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w:t>
      </w:r>
      <w:r>
        <w:rPr>
          <w:rStyle w:val="CharStyle14"/>
          <w:lang w:val="en-US" w:eastAsia="en-US"/>
        </w:rPr>
        <w:t xml:space="preserve">- </w:t>
      </w:r>
      <w:r>
        <w:rPr>
          <w:rStyle w:val="CharStyle14"/>
        </w:rPr>
        <w:t xml:space="preserve">Постановление Правительства </w:t>
      </w:r>
      <w:r>
        <w:rPr>
          <w:rStyle w:val="CharStyle14"/>
          <w:lang w:val="en-US" w:eastAsia="en-US"/>
        </w:rPr>
        <w:t xml:space="preserve">№ 620), </w:t>
      </w:r>
      <w:r>
        <w:rPr>
          <w:rStyle w:val="CharStyle14"/>
        </w:rPr>
        <w:t>утверждены требования 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1 </w:t>
      </w:r>
      <w:r>
        <w:rPr>
          <w:rStyle w:val="CharStyle14"/>
        </w:rPr>
        <w:t xml:space="preserve">Постановления Правительства </w:t>
      </w:r>
      <w:r>
        <w:rPr>
          <w:rStyle w:val="CharStyle14"/>
          <w:lang w:val="en-US" w:eastAsia="en-US"/>
        </w:rPr>
        <w:t xml:space="preserve">№ 620 </w:t>
      </w:r>
      <w:r>
        <w:rPr>
          <w:rStyle w:val="CharStyle14"/>
        </w:rPr>
        <w:t>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13"/>
        <w:keepNext w:val="0"/>
        <w:keepLines w:val="0"/>
        <w:widowControl w:val="0"/>
        <w:numPr>
          <w:ilvl w:val="0"/>
          <w:numId w:val="5"/>
        </w:numPr>
        <w:shd w:val="clear" w:color="auto" w:fill="auto"/>
        <w:tabs>
          <w:tab w:pos="979" w:val="left"/>
        </w:tabs>
        <w:bidi w:val="0"/>
        <w:spacing w:before="0" w:after="0" w:line="240" w:lineRule="auto"/>
        <w:ind w:left="0" w:right="0" w:firstLine="720"/>
        <w:jc w:val="both"/>
      </w:pPr>
      <w:r>
        <w:rPr>
          <w:rStyle w:val="CharStyle14"/>
          <w:lang w:val="en-US" w:eastAsia="en-US"/>
        </w:rPr>
        <w:t xml:space="preserve">600 </w:t>
      </w:r>
      <w:r>
        <w:rPr>
          <w:rStyle w:val="CharStyle14"/>
        </w:rPr>
        <w:t xml:space="preserve">тыс. рублей </w:t>
      </w:r>
      <w:r>
        <w:rPr>
          <w:rStyle w:val="CharStyle14"/>
          <w:lang w:val="en-US" w:eastAsia="en-US"/>
        </w:rPr>
        <w:t xml:space="preserve">- </w:t>
      </w:r>
      <w:r>
        <w:rPr>
          <w:rStyle w:val="CharStyle14"/>
        </w:rPr>
        <w:t xml:space="preserve">для заказчиков, у которых объем денежных средств, направленных на закупку медицинских изделий в предшествующем году, составил менее </w:t>
      </w:r>
      <w:r>
        <w:rPr>
          <w:rStyle w:val="CharStyle14"/>
          <w:lang w:val="en-US" w:eastAsia="en-US"/>
        </w:rPr>
        <w:t xml:space="preserve">50 </w:t>
      </w:r>
      <w:r>
        <w:rPr>
          <w:rStyle w:val="CharStyle14"/>
        </w:rPr>
        <w:t>млн. рублей;</w:t>
      </w:r>
    </w:p>
    <w:p>
      <w:pPr>
        <w:pStyle w:val="Style13"/>
        <w:keepNext w:val="0"/>
        <w:keepLines w:val="0"/>
        <w:widowControl w:val="0"/>
        <w:numPr>
          <w:ilvl w:val="0"/>
          <w:numId w:val="5"/>
        </w:numPr>
        <w:shd w:val="clear" w:color="auto" w:fill="auto"/>
        <w:tabs>
          <w:tab w:pos="979" w:val="left"/>
        </w:tabs>
        <w:bidi w:val="0"/>
        <w:spacing w:before="0" w:after="0" w:line="240" w:lineRule="auto"/>
        <w:ind w:left="0" w:right="0" w:firstLine="720"/>
        <w:jc w:val="both"/>
      </w:pPr>
      <w:r>
        <w:rPr>
          <w:rStyle w:val="CharStyle14"/>
          <w:lang w:val="en-US" w:eastAsia="en-US"/>
        </w:rPr>
        <w:t xml:space="preserve">1 </w:t>
      </w:r>
      <w:r>
        <w:rPr>
          <w:rStyle w:val="CharStyle14"/>
        </w:rPr>
        <w:t xml:space="preserve">млн. рублей </w:t>
      </w:r>
      <w:r>
        <w:rPr>
          <w:rStyle w:val="CharStyle14"/>
          <w:lang w:val="en-US" w:eastAsia="en-US"/>
        </w:rPr>
        <w:t xml:space="preserve">- </w:t>
      </w:r>
      <w:r>
        <w:rPr>
          <w:rStyle w:val="CharStyle14"/>
        </w:rPr>
        <w:t xml:space="preserve">для заказчиков, у которых объем денежных средств, направленных на закупку медицинских изделий в предшествующем году, составил от </w:t>
      </w:r>
      <w:r>
        <w:rPr>
          <w:rStyle w:val="CharStyle14"/>
          <w:lang w:val="en-US" w:eastAsia="en-US"/>
        </w:rPr>
        <w:t xml:space="preserve">50 </w:t>
      </w:r>
      <w:r>
        <w:rPr>
          <w:rStyle w:val="CharStyle14"/>
        </w:rPr>
        <w:t xml:space="preserve">млн. рублей до </w:t>
      </w:r>
      <w:r>
        <w:rPr>
          <w:rStyle w:val="CharStyle14"/>
          <w:lang w:val="en-US" w:eastAsia="en-US"/>
        </w:rPr>
        <w:t xml:space="preserve">100 </w:t>
      </w:r>
      <w:r>
        <w:rPr>
          <w:rStyle w:val="CharStyle14"/>
        </w:rPr>
        <w:t>млн. рублей;</w:t>
      </w:r>
    </w:p>
    <w:p>
      <w:pPr>
        <w:pStyle w:val="Style13"/>
        <w:keepNext w:val="0"/>
        <w:keepLines w:val="0"/>
        <w:widowControl w:val="0"/>
        <w:numPr>
          <w:ilvl w:val="0"/>
          <w:numId w:val="5"/>
        </w:numPr>
        <w:shd w:val="clear" w:color="auto" w:fill="auto"/>
        <w:tabs>
          <w:tab w:pos="979" w:val="left"/>
        </w:tabs>
        <w:bidi w:val="0"/>
        <w:spacing w:before="0" w:after="0" w:line="240" w:lineRule="auto"/>
        <w:ind w:left="0" w:right="0" w:firstLine="720"/>
        <w:jc w:val="both"/>
      </w:pPr>
      <w:r>
        <w:rPr>
          <w:rStyle w:val="CharStyle14"/>
          <w:lang w:val="en-US" w:eastAsia="en-US"/>
        </w:rPr>
        <w:t xml:space="preserve">1,5 </w:t>
      </w:r>
      <w:r>
        <w:rPr>
          <w:rStyle w:val="CharStyle14"/>
        </w:rPr>
        <w:t xml:space="preserve">млн. рублей </w:t>
      </w:r>
      <w:r>
        <w:rPr>
          <w:rStyle w:val="CharStyle14"/>
          <w:lang w:val="en-US" w:eastAsia="en-US"/>
        </w:rPr>
        <w:t xml:space="preserve">- </w:t>
      </w:r>
      <w:r>
        <w:rPr>
          <w:rStyle w:val="CharStyle14"/>
        </w:rPr>
        <w:t xml:space="preserve">для заказчиков, у которых объем денежных средств, направленных на закупку медицинских изделий в предшествующем году, составил более </w:t>
      </w:r>
      <w:r>
        <w:rPr>
          <w:rStyle w:val="CharStyle14"/>
          <w:lang w:val="en-US" w:eastAsia="en-US"/>
        </w:rPr>
        <w:t xml:space="preserve">100 </w:t>
      </w:r>
      <w:r>
        <w:rPr>
          <w:rStyle w:val="CharStyle14"/>
        </w:rPr>
        <w:t>млн. рублей.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извещению о закупке (техническому заданию) объектом закупки</w:t>
      </w:r>
      <w:r>
        <w:br w:type="page"/>
      </w:r>
    </w:p>
    <w:p>
      <w:pPr>
        <w:pStyle w:val="Style13"/>
        <w:keepNext w:val="0"/>
        <w:keepLines w:val="0"/>
        <w:widowControl w:val="0"/>
        <w:shd w:val="clear" w:color="auto" w:fill="auto"/>
        <w:bidi w:val="0"/>
        <w:spacing w:before="0" w:after="0" w:line="240" w:lineRule="auto"/>
        <w:ind w:left="0" w:right="0" w:firstLine="0"/>
        <w:jc w:val="left"/>
      </w:pPr>
      <w:r>
        <w:rPr>
          <w:rStyle w:val="CharStyle14"/>
        </w:rPr>
        <w:t>являются:</w:t>
      </w:r>
    </w:p>
    <w:p>
      <w:pPr>
        <w:pStyle w:val="Style13"/>
        <w:keepNext w:val="0"/>
        <w:keepLines w:val="0"/>
        <w:widowControl w:val="0"/>
        <w:numPr>
          <w:ilvl w:val="0"/>
          <w:numId w:val="5"/>
        </w:numPr>
        <w:shd w:val="clear" w:color="auto" w:fill="auto"/>
        <w:tabs>
          <w:tab w:pos="1719" w:val="left"/>
        </w:tabs>
        <w:bidi w:val="0"/>
        <w:spacing w:before="0" w:after="0" w:line="240" w:lineRule="auto"/>
        <w:ind w:left="0" w:right="0" w:firstLine="740"/>
        <w:jc w:val="both"/>
      </w:pPr>
      <w:r>
        <w:rPr>
          <w:rStyle w:val="CharStyle14"/>
        </w:rPr>
        <w:t xml:space="preserve">позиции </w:t>
      </w:r>
      <w:r>
        <w:rPr>
          <w:rStyle w:val="CharStyle14"/>
          <w:lang w:val="en-US" w:eastAsia="en-US"/>
        </w:rPr>
        <w:t xml:space="preserve">1, 2: </w:t>
      </w:r>
      <w:r>
        <w:rPr>
          <w:rStyle w:val="CharStyle14"/>
        </w:rPr>
        <w:t xml:space="preserve">«Игла для забора крови, стандартная» (код НКМИ </w:t>
      </w:r>
      <w:r>
        <w:rPr>
          <w:rStyle w:val="CharStyle14"/>
          <w:lang w:val="en-US" w:eastAsia="en-US"/>
        </w:rPr>
        <w:t>– 144170);</w:t>
      </w:r>
    </w:p>
    <w:p>
      <w:pPr>
        <w:pStyle w:val="Style13"/>
        <w:keepNext w:val="0"/>
        <w:keepLines w:val="0"/>
        <w:widowControl w:val="0"/>
        <w:numPr>
          <w:ilvl w:val="0"/>
          <w:numId w:val="5"/>
        </w:numPr>
        <w:shd w:val="clear" w:color="auto" w:fill="auto"/>
        <w:tabs>
          <w:tab w:pos="1719" w:val="left"/>
        </w:tabs>
        <w:bidi w:val="0"/>
        <w:spacing w:before="0" w:after="0" w:line="240" w:lineRule="auto"/>
        <w:ind w:left="0" w:right="0" w:firstLine="740"/>
        <w:jc w:val="both"/>
      </w:pPr>
      <w:r>
        <w:rPr>
          <w:rStyle w:val="CharStyle14"/>
        </w:rPr>
        <w:t xml:space="preserve">позиции </w:t>
      </w:r>
      <w:r>
        <w:rPr>
          <w:rStyle w:val="CharStyle14"/>
          <w:lang w:val="en-US" w:eastAsia="en-US"/>
        </w:rPr>
        <w:t xml:space="preserve">3-8: </w:t>
      </w:r>
      <w:r>
        <w:rPr>
          <w:rStyle w:val="CharStyle14"/>
        </w:rPr>
        <w:t xml:space="preserve">«Катетер для периферических сосудов» (код НКМИ </w:t>
      </w:r>
      <w:r>
        <w:rPr>
          <w:rStyle w:val="CharStyle14"/>
          <w:lang w:val="en-US" w:eastAsia="en-US"/>
        </w:rPr>
        <w:t>– 254530);</w:t>
      </w:r>
    </w:p>
    <w:p>
      <w:pPr>
        <w:pStyle w:val="Style13"/>
        <w:keepNext w:val="0"/>
        <w:keepLines w:val="0"/>
        <w:widowControl w:val="0"/>
        <w:numPr>
          <w:ilvl w:val="0"/>
          <w:numId w:val="5"/>
        </w:numPr>
        <w:shd w:val="clear" w:color="auto" w:fill="auto"/>
        <w:tabs>
          <w:tab w:pos="992" w:val="left"/>
        </w:tabs>
        <w:bidi w:val="0"/>
        <w:spacing w:before="0" w:after="0" w:line="240" w:lineRule="auto"/>
        <w:ind w:left="0" w:right="0" w:firstLine="740"/>
        <w:jc w:val="both"/>
      </w:pPr>
      <w:r>
        <w:rPr>
          <w:rStyle w:val="CharStyle14"/>
        </w:rPr>
        <w:t xml:space="preserve">позиции </w:t>
      </w:r>
      <w:r>
        <w:rPr>
          <w:rStyle w:val="CharStyle14"/>
          <w:lang w:val="en-US" w:eastAsia="en-US"/>
        </w:rPr>
        <w:t xml:space="preserve">9-11: </w:t>
      </w:r>
      <w:r>
        <w:rPr>
          <w:rStyle w:val="CharStyle14"/>
        </w:rPr>
        <w:t xml:space="preserve">«Игла инъекционная, одноразового использования, стерильная» (код НКМИ </w:t>
      </w:r>
      <w:r>
        <w:rPr>
          <w:rStyle w:val="CharStyle14"/>
          <w:lang w:val="en-US" w:eastAsia="en-US"/>
        </w:rPr>
        <w:t>– 309510);</w:t>
      </w:r>
    </w:p>
    <w:p>
      <w:pPr>
        <w:pStyle w:val="Style13"/>
        <w:keepNext w:val="0"/>
        <w:keepLines w:val="0"/>
        <w:widowControl w:val="0"/>
        <w:numPr>
          <w:ilvl w:val="0"/>
          <w:numId w:val="5"/>
        </w:numPr>
        <w:shd w:val="clear" w:color="auto" w:fill="auto"/>
        <w:tabs>
          <w:tab w:pos="992" w:val="left"/>
        </w:tabs>
        <w:bidi w:val="0"/>
        <w:spacing w:before="0" w:after="0" w:line="240" w:lineRule="auto"/>
        <w:ind w:left="0" w:right="0" w:firstLine="740"/>
        <w:jc w:val="both"/>
      </w:pPr>
      <w:r>
        <w:rPr>
          <w:rStyle w:val="CharStyle14"/>
        </w:rPr>
        <w:t xml:space="preserve">позиции </w:t>
      </w:r>
      <w:r>
        <w:rPr>
          <w:rStyle w:val="CharStyle14"/>
          <w:lang w:val="en-US" w:eastAsia="en-US"/>
        </w:rPr>
        <w:t xml:space="preserve">12-15: </w:t>
      </w:r>
      <w:r>
        <w:rPr>
          <w:rStyle w:val="CharStyle14"/>
        </w:rPr>
        <w:t xml:space="preserve">«Игла для биопсии мягких тканей, одноразового использования» (код НКМИ </w:t>
      </w:r>
      <w:r>
        <w:rPr>
          <w:rStyle w:val="CharStyle14"/>
          <w:lang w:val="en-US" w:eastAsia="en-US"/>
        </w:rPr>
        <w:t>– 285010);</w:t>
      </w:r>
    </w:p>
    <w:p>
      <w:pPr>
        <w:pStyle w:val="Style13"/>
        <w:keepNext w:val="0"/>
        <w:keepLines w:val="0"/>
        <w:widowControl w:val="0"/>
        <w:numPr>
          <w:ilvl w:val="0"/>
          <w:numId w:val="5"/>
        </w:numPr>
        <w:shd w:val="clear" w:color="auto" w:fill="auto"/>
        <w:tabs>
          <w:tab w:pos="992" w:val="left"/>
        </w:tabs>
        <w:bidi w:val="0"/>
        <w:spacing w:before="0" w:after="0" w:line="240" w:lineRule="auto"/>
        <w:ind w:left="0" w:right="0" w:firstLine="740"/>
        <w:jc w:val="both"/>
      </w:pPr>
      <w:r>
        <w:rPr>
          <w:rStyle w:val="CharStyle14"/>
        </w:rPr>
        <w:t xml:space="preserve">позиция </w:t>
      </w:r>
      <w:r>
        <w:rPr>
          <w:rStyle w:val="CharStyle14"/>
          <w:lang w:val="en-US" w:eastAsia="en-US"/>
        </w:rPr>
        <w:t xml:space="preserve">16: </w:t>
      </w:r>
      <w:r>
        <w:rPr>
          <w:rStyle w:val="CharStyle14"/>
        </w:rPr>
        <w:t xml:space="preserve">«Игла для биопсии костного мозга, многоразового использования» (код НКМИ </w:t>
      </w:r>
      <w:r>
        <w:rPr>
          <w:rStyle w:val="CharStyle14"/>
          <w:lang w:val="en-US" w:eastAsia="en-US"/>
        </w:rPr>
        <w:t>– 285060).</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Приказом Минздрава России от </w:t>
      </w:r>
      <w:r>
        <w:rPr>
          <w:rStyle w:val="CharStyle14"/>
          <w:lang w:val="en-US" w:eastAsia="en-US"/>
        </w:rPr>
        <w:t xml:space="preserve">06.06.2012 № </w:t>
      </w:r>
      <w:r>
        <w:rPr>
          <w:rStyle w:val="CharStyle14"/>
        </w:rPr>
        <w:t xml:space="preserve">4н утверждена номенклатурная классификация медицинских изделий по видам согласно приложению </w:t>
      </w:r>
      <w:r>
        <w:rPr>
          <w:rStyle w:val="CharStyle14"/>
          <w:lang w:val="en-US" w:eastAsia="en-US"/>
        </w:rPr>
        <w:t>№ 1.</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приложением </w:t>
      </w:r>
      <w:r>
        <w:rPr>
          <w:rStyle w:val="CharStyle14"/>
          <w:lang w:val="en-US" w:eastAsia="en-US"/>
        </w:rPr>
        <w:t xml:space="preserve">№ 1 </w:t>
      </w:r>
      <w:r>
        <w:rPr>
          <w:rStyle w:val="CharStyle14"/>
        </w:rPr>
        <w:t xml:space="preserve">к Приказу </w:t>
      </w:r>
      <w:r>
        <w:rPr>
          <w:rStyle w:val="CharStyle14"/>
          <w:lang w:val="en-US" w:eastAsia="en-US"/>
        </w:rPr>
        <w:t xml:space="preserve">№ </w:t>
      </w:r>
      <w:r>
        <w:rPr>
          <w:rStyle w:val="CharStyle14"/>
        </w:rPr>
        <w:t xml:space="preserve">4н номенклатурная классификация медицинских изделий по видам содержит числовое обозначение вида медицинского изделия </w:t>
      </w:r>
      <w:r>
        <w:rPr>
          <w:rStyle w:val="CharStyle14"/>
          <w:lang w:val="en-US" w:eastAsia="en-US"/>
        </w:rPr>
        <w:t xml:space="preserve">- </w:t>
      </w:r>
      <w:r>
        <w:rPr>
          <w:rStyle w:val="CharStyle14"/>
        </w:rPr>
        <w:t>идентификационный уникальный номер записи, наименование</w:t>
      </w:r>
    </w:p>
    <w:p>
      <w:pPr>
        <w:pStyle w:val="Style13"/>
        <w:keepNext w:val="0"/>
        <w:keepLines w:val="0"/>
        <w:widowControl w:val="0"/>
        <w:shd w:val="clear" w:color="auto" w:fill="auto"/>
        <w:bidi w:val="0"/>
        <w:spacing w:before="0" w:after="0" w:line="240" w:lineRule="auto"/>
        <w:ind w:left="0" w:right="0" w:firstLine="0"/>
        <w:jc w:val="both"/>
      </w:pPr>
      <w:r>
        <w:rPr>
          <w:rStyle w:val="CharStyle14"/>
        </w:rPr>
        <w:t>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tbl>
      <w:tblPr>
        <w:tblpPr w:leftFromText="60" w:rightFromText="669" w:topFromText="134" w:bottomFromText="0" w:horzAnchor="margin" w:tblpX="146" w:vertAnchor="text" w:tblpY="794"/>
        <w:jc w:val="left"/>
        <w:tblLayout w:type="fixed"/>
      </w:tblPr>
      <w:tblGrid>
        <w:gridCol w:w="1718"/>
        <w:gridCol w:w="528"/>
        <w:gridCol w:w="1723"/>
      </w:tblGrid>
      <w:tr>
        <w:trPr>
          <w:tblHeader/>
          <w:trHeight w:val="346"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2"/>
                <w:szCs w:val="22"/>
              </w:rPr>
            </w:pPr>
            <w:r>
              <w:rPr>
                <w:rStyle w:val="CharStyle16"/>
                <w:rFonts w:ascii="Courier New" w:eastAsia="Courier New" w:hAnsi="Courier New" w:cs="Courier New"/>
                <w:sz w:val="22"/>
                <w:szCs w:val="22"/>
              </w:rPr>
              <w:t>Вид</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22"/>
                <w:szCs w:val="22"/>
              </w:rPr>
            </w:pPr>
            <w:r>
              <w:rPr>
                <w:rStyle w:val="CharStyle16"/>
                <w:rFonts w:ascii="Courier New" w:eastAsia="Courier New" w:hAnsi="Courier New" w:cs="Courier New"/>
                <w:sz w:val="22"/>
                <w:szCs w:val="22"/>
              </w:rPr>
              <w:t>Наименование</w:t>
            </w:r>
          </w:p>
        </w:tc>
      </w:tr>
      <w:tr>
        <w:trPr>
          <w:trHeight w:val="254" w:hRule="exact"/>
        </w:trPr>
        <w:tc>
          <w:tcPr>
            <w:tcBorders>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22"/>
                <w:szCs w:val="22"/>
              </w:rPr>
            </w:pPr>
            <w:r>
              <w:rPr>
                <w:rStyle w:val="CharStyle16"/>
                <w:rFonts w:ascii="Courier New" w:eastAsia="Courier New" w:hAnsi="Courier New" w:cs="Courier New"/>
                <w:sz w:val="22"/>
                <w:szCs w:val="22"/>
              </w:rPr>
              <w:t>медицинского</w:t>
            </w:r>
          </w:p>
        </w:tc>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2"/>
                <w:szCs w:val="22"/>
              </w:rPr>
            </w:pPr>
            <w:r>
              <w:rPr>
                <w:rStyle w:val="CharStyle16"/>
                <w:rFonts w:ascii="Courier New" w:eastAsia="Courier New" w:hAnsi="Courier New" w:cs="Courier New"/>
                <w:sz w:val="22"/>
                <w:szCs w:val="22"/>
              </w:rPr>
              <w:t>вида</w:t>
            </w:r>
          </w:p>
        </w:tc>
      </w:tr>
      <w:tr>
        <w:trPr>
          <w:trHeight w:val="240" w:hRule="exact"/>
        </w:trPr>
        <w:tc>
          <w:tcPr>
            <w:tcBorders>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22"/>
                <w:szCs w:val="22"/>
              </w:rPr>
            </w:pPr>
            <w:r>
              <w:rPr>
                <w:rStyle w:val="CharStyle16"/>
                <w:rFonts w:ascii="Courier New" w:eastAsia="Courier New" w:hAnsi="Courier New" w:cs="Courier New"/>
                <w:sz w:val="22"/>
                <w:szCs w:val="22"/>
              </w:rPr>
              <w:t>изделия:</w:t>
            </w:r>
          </w:p>
        </w:tc>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22"/>
                <w:szCs w:val="22"/>
              </w:rPr>
            </w:pPr>
            <w:r>
              <w:rPr>
                <w:rStyle w:val="CharStyle16"/>
                <w:rFonts w:ascii="Courier New" w:eastAsia="Courier New" w:hAnsi="Courier New" w:cs="Courier New"/>
                <w:sz w:val="22"/>
                <w:szCs w:val="22"/>
              </w:rPr>
              <w:t>медицинского</w:t>
            </w:r>
          </w:p>
        </w:tc>
      </w:tr>
      <w:tr>
        <w:trPr>
          <w:trHeight w:val="336" w:hRule="exact"/>
        </w:trPr>
        <w:tc>
          <w:tcPr>
            <w:tcBorders>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2"/>
                <w:szCs w:val="22"/>
              </w:rPr>
            </w:pPr>
            <w:r>
              <w:rPr>
                <w:rStyle w:val="CharStyle16"/>
                <w:rFonts w:ascii="Courier New" w:eastAsia="Courier New" w:hAnsi="Courier New" w:cs="Courier New"/>
                <w:sz w:val="22"/>
                <w:szCs w:val="22"/>
                <w:lang w:val="en-US" w:eastAsia="en-US"/>
              </w:rPr>
              <w:t xml:space="preserve">XXXXXX </w:t>
            </w:r>
            <w:r>
              <w:rPr>
                <w:rStyle w:val="CharStyle16"/>
                <w:rFonts w:ascii="Courier New" w:eastAsia="Courier New" w:hAnsi="Courier New" w:cs="Courier New"/>
                <w:sz w:val="22"/>
                <w:szCs w:val="22"/>
              </w:rPr>
              <w:t>&lt;*&gt;</w:t>
            </w:r>
          </w:p>
        </w:tc>
        <w:tc>
          <w:tcPr>
            <w:tcBorders>
              <w:left w:val="single" w:sz="4"/>
            </w:tcBorders>
            <w:shd w:val="clear" w:color="auto" w:fill="auto"/>
            <w:vAlign w:val="top"/>
          </w:tcPr>
          <w:p>
            <w:pPr>
              <w:widowControl w:val="0"/>
              <w:rPr>
                <w:sz w:val="10"/>
                <w:szCs w:val="10"/>
              </w:rPr>
            </w:pPr>
          </w:p>
        </w:tc>
        <w:tc>
          <w:tcPr>
            <w:tcBorders>
              <w:left w:val="single" w:sz="4"/>
              <w:bottom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2"/>
                <w:szCs w:val="22"/>
              </w:rPr>
            </w:pPr>
            <w:r>
              <w:rPr>
                <w:rStyle w:val="CharStyle16"/>
                <w:rFonts w:ascii="Courier New" w:eastAsia="Courier New" w:hAnsi="Courier New" w:cs="Courier New"/>
                <w:sz w:val="22"/>
                <w:szCs w:val="22"/>
              </w:rPr>
              <w:t>изделия</w:t>
            </w:r>
          </w:p>
        </w:tc>
      </w:tr>
    </w:tbl>
    <w:p>
      <w:pPr>
        <w:pStyle w:val="Style13"/>
        <w:keepNext w:val="0"/>
        <w:keepLines w:val="0"/>
        <w:widowControl w:val="0"/>
        <w:shd w:val="clear" w:color="auto" w:fill="auto"/>
        <w:bidi w:val="0"/>
        <w:spacing w:before="0" w:after="200" w:line="240" w:lineRule="auto"/>
        <w:ind w:left="0" w:right="0" w:firstLine="560"/>
        <w:jc w:val="both"/>
      </w:pPr>
      <w:r>
        <mc:AlternateContent>
          <mc:Choice Requires="wps">
            <w:drawing>
              <wp:anchor distT="0" distB="0" distL="0" distR="0" simplePos="0" relativeHeight="503316482" behindDoc="0" locked="0" layoutInCell="1" allowOverlap="1">
                <wp:simplePos x="0" y="0"/>
                <wp:positionH relativeFrom="margin">
                  <wp:posOffset>1388110</wp:posOffset>
                </wp:positionH>
                <wp:positionV relativeFrom="paragraph">
                  <wp:posOffset>419100</wp:posOffset>
                </wp:positionV>
                <wp:extent cx="103505" cy="149225"/>
                <wp:wrapNone/>
                <wp:docPr id="10" name="Shape 10"/>
                <a:graphic xmlns:a="http://schemas.openxmlformats.org/drawingml/2006/main">
                  <a:graphicData uri="http://schemas.microsoft.com/office/word/2010/wordprocessingShape">
                    <wps:wsp>
                      <wps:cNvSpPr txBox="1"/>
                      <wps:spPr>
                        <a:xfrm>
                          <a:ext cx="103505" cy="14922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both"/>
                              <w:rPr>
                                <w:sz w:val="22"/>
                                <w:szCs w:val="22"/>
                              </w:rPr>
                            </w:pPr>
                            <w:r>
                              <w:rPr>
                                <w:rStyle w:val="CharStyle19"/>
                                <w:rFonts w:ascii="Courier New" w:eastAsia="Courier New" w:hAnsi="Courier New" w:cs="Courier New"/>
                                <w:sz w:val="22"/>
                                <w:szCs w:val="22"/>
                                <w:lang w:val="en-US" w:eastAsia="en-US"/>
                              </w:rPr>
                              <w:t>■ &gt;</w:t>
                            </w:r>
                          </w:p>
                        </w:txbxContent>
                      </wps:txbx>
                      <wps:bodyPr lIns="0" tIns="0" rIns="0" bIns="0">
                        <a:noAutoFit/>
                      </wps:bodyPr>
                    </wps:wsp>
                  </a:graphicData>
                </a:graphic>
              </wp:anchor>
            </w:drawing>
          </mc:Choice>
          <mc:Fallback>
            <w:pict>
              <v:shape id="_x0000_s1036" type="#_x0000_t202" style="position:absolute;margin-left:109.3pt;margin-top:33.pt;width:8.1500000000000004pt;height:11.75pt;z-index:251657729;mso-wrap-distance-left:0;mso-wrap-distance-right:0;mso-position-horizontal-relative:margin" filled="f" stroked="f">
                <v:textbox inset="0,0,0,0">
                  <w:txbxContent>
                    <w:p>
                      <w:pPr>
                        <w:pStyle w:val="Style18"/>
                        <w:keepNext w:val="0"/>
                        <w:keepLines w:val="0"/>
                        <w:widowControl w:val="0"/>
                        <w:shd w:val="clear" w:color="auto" w:fill="auto"/>
                        <w:bidi w:val="0"/>
                        <w:spacing w:before="0" w:after="0" w:line="240" w:lineRule="auto"/>
                        <w:ind w:left="0" w:right="0" w:firstLine="0"/>
                        <w:jc w:val="both"/>
                        <w:rPr>
                          <w:sz w:val="22"/>
                          <w:szCs w:val="22"/>
                        </w:rPr>
                      </w:pPr>
                      <w:r>
                        <w:rPr>
                          <w:rStyle w:val="CharStyle19"/>
                          <w:rFonts w:ascii="Courier New" w:eastAsia="Courier New" w:hAnsi="Courier New" w:cs="Courier New"/>
                          <w:sz w:val="22"/>
                          <w:szCs w:val="22"/>
                          <w:lang w:val="en-US" w:eastAsia="en-US"/>
                        </w:rPr>
                        <w:t>■ &gt;</w:t>
                      </w:r>
                    </w:p>
                  </w:txbxContent>
                </v:textbox>
                <w10:wrap anchorx="margin"/>
              </v:shape>
            </w:pict>
          </mc:Fallback>
        </mc:AlternateContent>
      </w:r>
      <w:r>
        <mc:AlternateContent>
          <mc:Choice Requires="wps">
            <w:drawing>
              <wp:anchor distT="0" distB="682625" distL="2839085" distR="38100" simplePos="0" relativeHeight="125829380" behindDoc="0" locked="0" layoutInCell="1" allowOverlap="1">
                <wp:simplePos x="0" y="0"/>
                <wp:positionH relativeFrom="margin">
                  <wp:posOffset>2893695</wp:posOffset>
                </wp:positionH>
                <wp:positionV relativeFrom="paragraph">
                  <wp:posOffset>419100</wp:posOffset>
                </wp:positionV>
                <wp:extent cx="106680" cy="149225"/>
                <wp:wrapSquare wrapText="right"/>
                <wp:docPr id="12" name="Shape 12"/>
                <a:graphic xmlns:a="http://schemas.openxmlformats.org/drawingml/2006/main">
                  <a:graphicData uri="http://schemas.microsoft.com/office/word/2010/wordprocessingShape">
                    <wps:wsp>
                      <wps:cNvSpPr txBox="1"/>
                      <wps:spPr>
                        <a:xfrm>
                          <a:ext cx="106680" cy="14922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both"/>
                            </w:pPr>
                            <w:r>
                              <w:rPr>
                                <w:rStyle w:val="CharStyle22"/>
                                <w:lang w:val="en-US" w:eastAsia="en-US"/>
                              </w:rPr>
                              <w:t>■ &gt;</w:t>
                            </w:r>
                          </w:p>
                        </w:txbxContent>
                      </wps:txbx>
                      <wps:bodyPr wrap="none" lIns="0" tIns="0" rIns="0" bIns="0">
                        <a:noAutoFit/>
                      </wps:bodyPr>
                    </wps:wsp>
                  </a:graphicData>
                </a:graphic>
              </wp:anchor>
            </w:drawing>
          </mc:Choice>
          <mc:Fallback>
            <w:pict>
              <v:shape id="_x0000_s1038" type="#_x0000_t202" style="position:absolute;margin-left:227.84999999999999pt;margin-top:33.pt;width:8.4000000000000004pt;height:11.75pt;z-index:-125829373;mso-wrap-distance-left:223.55000000000001pt;mso-wrap-distance-right:3.pt;mso-wrap-distance-bottom:53.75pt;mso-position-horizontal-relative:margin" filled="f" stroked="f">
                <v:textbox inset="0,0,0,0">
                  <w:txbxContent>
                    <w:p>
                      <w:pPr>
                        <w:pStyle w:val="Style21"/>
                        <w:keepNext w:val="0"/>
                        <w:keepLines w:val="0"/>
                        <w:widowControl w:val="0"/>
                        <w:shd w:val="clear" w:color="auto" w:fill="auto"/>
                        <w:bidi w:val="0"/>
                        <w:spacing w:before="0" w:after="0" w:line="240" w:lineRule="auto"/>
                        <w:ind w:left="0" w:right="0" w:firstLine="0"/>
                        <w:jc w:val="both"/>
                      </w:pPr>
                      <w:r>
                        <w:rPr>
                          <w:rStyle w:val="CharStyle22"/>
                          <w:lang w:val="en-US" w:eastAsia="en-US"/>
                        </w:rPr>
                        <w:t>■ &gt;</w:t>
                      </w:r>
                    </w:p>
                  </w:txbxContent>
                </v:textbox>
                <w10:wrap type="square" side="right" anchorx="margin"/>
              </v:shape>
            </w:pict>
          </mc:Fallback>
        </mc:AlternateContent>
      </w:r>
      <w:r>
        <w:rPr>
          <w:rStyle w:val="CharStyle14"/>
        </w:rPr>
        <w:t>Алгоритм формирования, применяемый для ведения номенклатурной классификации медицинских изделий по видам, представлен на схеме:</w:t>
      </w:r>
    </w:p>
    <w:p>
      <w:pPr>
        <w:pStyle w:val="Style21"/>
        <w:keepNext w:val="0"/>
        <w:keepLines w:val="0"/>
        <w:widowControl w:val="0"/>
        <w:shd w:val="clear" w:color="auto" w:fill="auto"/>
        <w:bidi w:val="0"/>
        <w:spacing w:before="0" w:after="0" w:line="240" w:lineRule="auto"/>
        <w:ind w:left="0" w:right="0" w:firstLine="0"/>
        <w:jc w:val="left"/>
      </w:pPr>
      <w:r>
        <w:rPr>
          <w:rStyle w:val="CharStyle22"/>
        </w:rPr>
        <w:t>Классификационные признаки вида медицинского изделия, указываемые в зависимости от назначения медицинского изделия: - область применения;</w:t>
      </w:r>
    </w:p>
    <w:p>
      <w:pPr>
        <w:pStyle w:val="Style26"/>
        <w:keepNext/>
        <w:keepLines/>
        <w:widowControl w:val="0"/>
        <w:numPr>
          <w:ilvl w:val="0"/>
          <w:numId w:val="7"/>
        </w:numPr>
        <w:shd w:val="clear" w:color="auto" w:fill="auto"/>
        <w:tabs>
          <w:tab w:pos="5071" w:val="left"/>
        </w:tabs>
        <w:bidi w:val="0"/>
        <w:spacing w:before="0" w:after="0" w:line="240" w:lineRule="auto"/>
        <w:ind w:right="0" w:firstLine="0"/>
        <w:jc w:val="left"/>
      </w:pPr>
      <w:bookmarkStart w:id="8" w:name="bookmark8"/>
      <w:r>
        <w:rPr>
          <w:rStyle w:val="CharStyle27"/>
        </w:rPr>
        <w:t>инвазивность;</w:t>
      </w:r>
      <w:bookmarkEnd w:id="8"/>
    </w:p>
    <w:p>
      <w:pPr>
        <w:pStyle w:val="Style26"/>
        <w:keepNext/>
        <w:keepLines/>
        <w:widowControl w:val="0"/>
        <w:numPr>
          <w:ilvl w:val="0"/>
          <w:numId w:val="7"/>
        </w:numPr>
        <w:shd w:val="clear" w:color="auto" w:fill="auto"/>
        <w:tabs>
          <w:tab w:pos="5071" w:val="left"/>
        </w:tabs>
        <w:bidi w:val="0"/>
        <w:spacing w:before="0" w:after="0" w:line="240" w:lineRule="auto"/>
        <w:ind w:right="0" w:firstLine="0"/>
        <w:jc w:val="left"/>
      </w:pPr>
      <w:bookmarkStart w:id="10" w:name="bookmark10"/>
      <w:r>
        <w:rPr>
          <w:rStyle w:val="CharStyle27"/>
        </w:rPr>
        <w:t>стерильность;</w:t>
      </w:r>
      <w:bookmarkEnd w:id="10"/>
    </w:p>
    <w:p>
      <w:pPr>
        <w:pStyle w:val="Style21"/>
        <w:keepNext w:val="0"/>
        <w:keepLines w:val="0"/>
        <w:widowControl w:val="0"/>
        <w:numPr>
          <w:ilvl w:val="0"/>
          <w:numId w:val="7"/>
        </w:numPr>
        <w:shd w:val="clear" w:color="auto" w:fill="auto"/>
        <w:tabs>
          <w:tab w:pos="5086" w:val="left"/>
        </w:tabs>
        <w:bidi w:val="0"/>
        <w:spacing w:before="0" w:after="0" w:line="240" w:lineRule="auto"/>
        <w:ind w:left="4780" w:right="0" w:firstLine="0"/>
        <w:jc w:val="left"/>
      </w:pPr>
      <w:r>
        <w:rPr>
          <w:rStyle w:val="CharStyle22"/>
        </w:rPr>
        <w:t>частота использования (однократного или многократного применения);</w:t>
      </w:r>
    </w:p>
    <w:p>
      <w:pPr>
        <w:pStyle w:val="Style21"/>
        <w:keepNext w:val="0"/>
        <w:keepLines w:val="0"/>
        <w:widowControl w:val="0"/>
        <w:numPr>
          <w:ilvl w:val="0"/>
          <w:numId w:val="7"/>
        </w:numPr>
        <w:shd w:val="clear" w:color="auto" w:fill="auto"/>
        <w:tabs>
          <w:tab w:pos="5071" w:val="left"/>
        </w:tabs>
        <w:bidi w:val="0"/>
        <w:spacing w:before="0" w:after="0" w:line="240" w:lineRule="auto"/>
        <w:ind w:left="4780" w:right="0" w:firstLine="0"/>
        <w:jc w:val="left"/>
      </w:pPr>
      <w:r>
        <w:rPr>
          <w:rStyle w:val="CharStyle22"/>
        </w:rPr>
        <w:t>эксплуатационные особенности;</w:t>
      </w:r>
    </w:p>
    <w:p>
      <w:pPr>
        <w:pStyle w:val="Style26"/>
        <w:keepNext/>
        <w:keepLines/>
        <w:widowControl w:val="0"/>
        <w:numPr>
          <w:ilvl w:val="0"/>
          <w:numId w:val="7"/>
        </w:numPr>
        <w:shd w:val="clear" w:color="auto" w:fill="auto"/>
        <w:tabs>
          <w:tab w:pos="5071" w:val="left"/>
        </w:tabs>
        <w:bidi w:val="0"/>
        <w:spacing w:before="0" w:after="260" w:line="240" w:lineRule="auto"/>
        <w:ind w:right="0" w:firstLine="0"/>
        <w:jc w:val="left"/>
      </w:pPr>
      <w:bookmarkStart w:id="15" w:name="bookmark15"/>
      <w:r>
        <w:rPr>
          <w:rStyle w:val="CharStyle27"/>
        </w:rPr>
        <w:t>конструктивные особенности.</w:t>
      </w:r>
      <w:bookmarkEnd w:id="15"/>
    </w:p>
    <w:p>
      <w:pPr>
        <w:pStyle w:val="Style13"/>
        <w:keepNext w:val="0"/>
        <w:keepLines w:val="0"/>
        <w:widowControl w:val="0"/>
        <w:shd w:val="clear" w:color="auto" w:fill="auto"/>
        <w:bidi w:val="0"/>
        <w:spacing w:before="0" w:after="0" w:line="240" w:lineRule="auto"/>
        <w:ind w:left="0" w:right="0" w:firstLine="560"/>
        <w:jc w:val="both"/>
      </w:pPr>
      <w:r>
        <w:rPr>
          <w:rStyle w:val="CharStyle14"/>
        </w:rPr>
        <w:t>Классификация медицинских изделий формируется в электронном виде по группам и подгруппам медицинских изделий и размещается на официальном сайте Федеральной службы по надзору в сфере здравоохранения в информационно</w:t>
        <w:softHyphen/>
        <w:t>телекоммуникационной сети «Интернет».</w:t>
      </w:r>
    </w:p>
    <w:p>
      <w:pPr>
        <w:pStyle w:val="Style13"/>
        <w:keepNext w:val="0"/>
        <w:keepLines w:val="0"/>
        <w:widowControl w:val="0"/>
        <w:shd w:val="clear" w:color="auto" w:fill="auto"/>
        <w:bidi w:val="0"/>
        <w:spacing w:before="0" w:after="0" w:line="240" w:lineRule="auto"/>
        <w:ind w:left="0" w:right="0" w:firstLine="560"/>
        <w:jc w:val="both"/>
      </w:pPr>
      <w:r>
        <w:rPr>
          <w:rStyle w:val="CharStyle14"/>
        </w:rPr>
        <w:t>&lt;*&gt; Фиксируется начальное значение 100000 и для каждой последующей записи значение увеличивается на 10.</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номенклатурной классификации медицинских изделий по видам, утвержденной Приказом Минздрава России от 06.06.2012 № 4н, размещенной на официальном сайте Федеральной службы по надзору в сфере здравоохранения в сети Интернет </w:t>
      </w:r>
      <w:r>
        <w:rPr>
          <w:rStyle w:val="CharStyle14"/>
          <w:lang w:val="en-US" w:eastAsia="en-US"/>
        </w:rPr>
        <w:t xml:space="preserve">(https:// </w:t>
      </w:r>
      <w:r>
        <w:rPr>
          <w:rStyle w:val="CharStyle14"/>
          <w:lang w:val="en-US" w:eastAsia="en-US"/>
        </w:rPr>
        <w:t>roszdravnadzor.gov.ru/</w:t>
      </w:r>
      <w:r>
        <w:rPr>
          <w:rStyle w:val="CharStyle14"/>
          <w:lang w:val="en-US" w:eastAsia="en-US"/>
        </w:rPr>
        <w:t xml:space="preserve">), </w:t>
      </w:r>
      <w:r>
        <w:rPr>
          <w:rStyle w:val="CharStyle14"/>
        </w:rPr>
        <w:t>коды медицинских изделий, закупаемых в рамках рассматриваемой закупки, относятся к разделу 6. «Медицинские изделия для манипуляций/восстановления тканей/органов человека»; 6.02. «Изделия для сбора/обработки/транспортирования биологических жидкостей/тканей».</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Каждый отдельный вид медицинского изделия обладает уникальным идентификационным номером записи в формате шестизначного кода, при этом</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номенклатурная классификация также содержит классификации видов медицинских изделий по группам и подгруппам, при этом Постановлением Правительства </w:t>
      </w:r>
      <w:r>
        <w:rPr>
          <w:rStyle w:val="CharStyle14"/>
          <w:lang w:val="en-US" w:eastAsia="en-US"/>
        </w:rPr>
        <w:t xml:space="preserve">№ 620 </w:t>
      </w:r>
      <w:r>
        <w:rPr>
          <w:rStyle w:val="CharStyle14"/>
        </w:rPr>
        <w:t>установлено, что предметом одного контракта (одного лота) не могут быть медицинские изделия различных видов, а не различных кодов одного вида медицинских изделий.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Как установлено Комиссией, закупаемые в рамках рассматриваемой закупки медицинские изделия действительно имеют разные коды НКМИ, однако являются медицинскими изделиями единого вида, так как относятся к виду </w:t>
      </w:r>
      <w:r>
        <w:rPr>
          <w:rStyle w:val="CharStyle14"/>
          <w:lang w:val="en-US" w:eastAsia="en-US"/>
        </w:rPr>
        <w:t xml:space="preserve">6. </w:t>
      </w:r>
      <w:r>
        <w:rPr>
          <w:rStyle w:val="CharStyle14"/>
        </w:rPr>
        <w:t xml:space="preserve">«Медицинские изделия для манипуляций/восстановления тканей/органов человека», подвиду </w:t>
      </w:r>
      <w:r>
        <w:rPr>
          <w:rStyle w:val="CharStyle14"/>
          <w:lang w:val="en-US" w:eastAsia="en-US"/>
        </w:rPr>
        <w:t xml:space="preserve">6.02. </w:t>
      </w:r>
      <w:r>
        <w:rPr>
          <w:rStyle w:val="CharStyle14"/>
        </w:rPr>
        <w:t>«Изделия для сбора/обработки/транспортирования биологических жидкостей/тканей».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Закупаемые медицинские изделия относятся к одной группе товаров и обладают едиными классификационными признаками, а также относятся к одному коду по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 xml:space="preserve">Общероссийский классификатор продукции по видам экономической деятельности» (утв. Приказом Росстандарта от </w:t>
      </w:r>
      <w:r>
        <w:rPr>
          <w:rStyle w:val="CharStyle14"/>
          <w:lang w:val="en-US" w:eastAsia="en-US"/>
        </w:rPr>
        <w:t xml:space="preserve">31.01.2014 № </w:t>
      </w:r>
      <w:r>
        <w:rPr>
          <w:rStyle w:val="CharStyle14"/>
        </w:rPr>
        <w:t xml:space="preserve">14-ст) </w:t>
      </w:r>
      <w:r>
        <w:rPr>
          <w:rStyle w:val="CharStyle14"/>
          <w:lang w:val="en-US" w:eastAsia="en-US"/>
        </w:rPr>
        <w:t xml:space="preserve">- </w:t>
      </w:r>
      <w:r>
        <w:rPr>
          <w:rStyle w:val="CharStyle14"/>
        </w:rPr>
        <w:t xml:space="preserve">ОКПД2 </w:t>
      </w:r>
      <w:r>
        <w:rPr>
          <w:rStyle w:val="CharStyle14"/>
          <w:lang w:val="en-US" w:eastAsia="en-US"/>
        </w:rPr>
        <w:t xml:space="preserve">32.50.13.110 </w:t>
      </w:r>
      <w:r>
        <w:rPr>
          <w:rStyle w:val="CharStyle14"/>
        </w:rPr>
        <w:t>«Шприцы, иглы, катетеры, канюли и аналогичные инструменты».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основании изложенного, Комиссия приходит к выводу, что все товары лота рассматриваемой закупки относятся к одному виду медицинских изделий </w:t>
      </w:r>
      <w:r>
        <w:rPr>
          <w:rStyle w:val="CharStyle14"/>
          <w:lang w:val="en-US" w:eastAsia="en-US"/>
        </w:rPr>
        <w:t xml:space="preserve">- </w:t>
      </w:r>
      <w:r>
        <w:rPr>
          <w:rStyle w:val="CharStyle14"/>
        </w:rPr>
        <w:t xml:space="preserve">«Медицинские изделия для манипуляций/восстановления тканей/органов человека» в соответствии с номенклатурной классификацией медицинских изделий. Следовательно, Уполномоченным учреждением, Заказчиком не нарушены требования Постановления Правительства </w:t>
      </w:r>
      <w:r>
        <w:rPr>
          <w:rStyle w:val="CharStyle14"/>
          <w:lang w:val="en-US" w:eastAsia="en-US"/>
        </w:rPr>
        <w:t xml:space="preserve">№ 620 </w:t>
      </w:r>
      <w:r>
        <w:rPr>
          <w:rStyle w:val="CharStyle14"/>
        </w:rPr>
        <w:t>к формированию лота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Вышеуказанный подход подтверждается судебной практикой (Решение Арбитражного суда Чувашкой Республики от </w:t>
      </w:r>
      <w:r>
        <w:rPr>
          <w:rStyle w:val="CharStyle14"/>
          <w:lang w:val="en-US" w:eastAsia="en-US"/>
        </w:rPr>
        <w:t xml:space="preserve">29.04.2022 </w:t>
      </w:r>
      <w:r>
        <w:rPr>
          <w:rStyle w:val="CharStyle14"/>
        </w:rPr>
        <w:t xml:space="preserve">по делу </w:t>
      </w:r>
      <w:r>
        <w:rPr>
          <w:rStyle w:val="CharStyle14"/>
          <w:lang w:val="en-US" w:eastAsia="en-US"/>
        </w:rPr>
        <w:t xml:space="preserve">№ </w:t>
      </w:r>
      <w:r>
        <w:rPr>
          <w:rStyle w:val="CharStyle14"/>
        </w:rPr>
        <w:t xml:space="preserve">А79-10646/2021; Постановление Первого арбитражного апелляционного суда от </w:t>
      </w:r>
      <w:r>
        <w:rPr>
          <w:rStyle w:val="CharStyle14"/>
          <w:lang w:val="en-US" w:eastAsia="en-US"/>
        </w:rPr>
        <w:t xml:space="preserve">11.07.2022 № </w:t>
      </w:r>
      <w:r>
        <w:rPr>
          <w:rStyle w:val="CharStyle14"/>
        </w:rPr>
        <w:t xml:space="preserve">01АП- </w:t>
      </w:r>
      <w:r>
        <w:rPr>
          <w:rStyle w:val="CharStyle14"/>
          <w:lang w:val="en-US" w:eastAsia="en-US"/>
        </w:rPr>
        <w:t xml:space="preserve">4225/2022; </w:t>
      </w:r>
      <w:r>
        <w:rPr>
          <w:rStyle w:val="CharStyle14"/>
        </w:rPr>
        <w:t xml:space="preserve">Постановление Арбитражного суда Волго-Вятского округа от </w:t>
      </w:r>
      <w:r>
        <w:rPr>
          <w:rStyle w:val="CharStyle14"/>
          <w:lang w:val="en-US" w:eastAsia="en-US"/>
        </w:rPr>
        <w:t xml:space="preserve">18.10.2022 № </w:t>
      </w:r>
      <w:r>
        <w:rPr>
          <w:rStyle w:val="CharStyle14"/>
        </w:rPr>
        <w:t xml:space="preserve">Ф01-5460/2022; Определение Верховного Суда РФ от </w:t>
      </w:r>
      <w:r>
        <w:rPr>
          <w:rStyle w:val="CharStyle14"/>
          <w:lang w:val="en-US" w:eastAsia="en-US"/>
        </w:rPr>
        <w:t xml:space="preserve">02.02.2023 № </w:t>
      </w:r>
      <w:r>
        <w:rPr>
          <w:rStyle w:val="CharStyle14"/>
        </w:rPr>
        <w:t>301-ЭС22-28404).</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12 </w:t>
      </w:r>
      <w:r>
        <w:rPr>
          <w:rStyle w:val="CharStyle14"/>
        </w:rPr>
        <w:t xml:space="preserve">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w:t>
      </w:r>
      <w:r>
        <w:rPr>
          <w:rStyle w:val="CharStyle14"/>
          <w:u w:val="single"/>
        </w:rPr>
        <w:t>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r>
        <w:rPr>
          <w:rStyle w:val="CharStyle14"/>
        </w:rPr>
        <w:t>.</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правовой позиции, изложенной в постановлении Президиума ВАС РФ от </w:t>
      </w:r>
      <w:r>
        <w:rPr>
          <w:rStyle w:val="CharStyle14"/>
          <w:lang w:val="en-US" w:eastAsia="en-US"/>
        </w:rPr>
        <w:t xml:space="preserve">28.12.2010 № 11017/10 </w:t>
      </w:r>
      <w:r>
        <w:rPr>
          <w:rStyle w:val="CharStyle14"/>
        </w:rPr>
        <w:t xml:space="preserve">по делу </w:t>
      </w:r>
      <w:r>
        <w:rPr>
          <w:rStyle w:val="CharStyle14"/>
          <w:lang w:val="en-US" w:eastAsia="en-US"/>
        </w:rPr>
        <w:t xml:space="preserve">№ </w:t>
      </w:r>
      <w:r>
        <w:rPr>
          <w:rStyle w:val="CharStyle14"/>
        </w:rPr>
        <w:t>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государственных закупок.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Статьей </w:t>
      </w:r>
      <w:r>
        <w:rPr>
          <w:rStyle w:val="CharStyle14"/>
          <w:lang w:val="en-US" w:eastAsia="en-US"/>
        </w:rPr>
        <w:t xml:space="preserve">8 </w:t>
      </w:r>
      <w:r>
        <w:rPr>
          <w:rStyle w:val="CharStyle14"/>
        </w:rPr>
        <w:t>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w:t>
      </w:r>
      <w:r>
        <w:br w:type="page"/>
      </w:r>
    </w:p>
    <w:p>
      <w:pPr>
        <w:pStyle w:val="Style13"/>
        <w:keepNext w:val="0"/>
        <w:keepLines w:val="0"/>
        <w:widowControl w:val="0"/>
        <w:shd w:val="clear" w:color="auto" w:fill="auto"/>
        <w:bidi w:val="0"/>
        <w:spacing w:before="0" w:after="0" w:line="240" w:lineRule="auto"/>
        <w:ind w:left="0" w:right="0" w:firstLine="0"/>
        <w:jc w:val="left"/>
      </w:pPr>
      <w:r>
        <w:rPr>
          <w:rStyle w:val="CharStyle14"/>
        </w:rPr>
        <w:t>(подрядчиком,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Извещение о рассматриваемом запросе котировок в электронной форме не предусматривает, что осуществление закупки проводится среди производителей требуемого к поставке товара. В закупке может участвовать неограниченное количество участников, участником закупки может выступать любое лицо, готовое поставить требуемый заказчику товар, согласно условиям извещения.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Отсутствие у каких-либо лиц, заинтересованных в заключении контракта, возможности поставить товар, соответствующий потребности Заказчика, не свидетельствует о нарушении Заказчиком прав этих лиц, а также ограничении числа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основании изложенного, Комиссия приходит к выводу, что довод жалобы является необоснованным.</w:t>
      </w:r>
    </w:p>
    <w:p>
      <w:pPr>
        <w:pStyle w:val="Style13"/>
        <w:keepNext w:val="0"/>
        <w:keepLines w:val="0"/>
        <w:widowControl w:val="0"/>
        <w:shd w:val="clear" w:color="auto" w:fill="auto"/>
        <w:bidi w:val="0"/>
        <w:spacing w:before="0" w:after="280" w:line="240" w:lineRule="auto"/>
        <w:ind w:left="0" w:right="0" w:firstLine="720"/>
        <w:jc w:val="both"/>
      </w:pPr>
      <w:r>
        <w:rPr>
          <w:rStyle w:val="CharStyle14"/>
        </w:rPr>
        <w:t xml:space="preserve">Руководствуясь частью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Комиссия Магаданского УФАС России</w:t>
      </w:r>
    </w:p>
    <w:p>
      <w:pPr>
        <w:pStyle w:val="Style26"/>
        <w:keepNext/>
        <w:keepLines/>
        <w:widowControl w:val="0"/>
        <w:shd w:val="clear" w:color="auto" w:fill="auto"/>
        <w:bidi w:val="0"/>
        <w:spacing w:before="0" w:after="280" w:line="240" w:lineRule="auto"/>
        <w:ind w:left="0" w:right="0" w:firstLine="0"/>
        <w:jc w:val="center"/>
        <w:rPr>
          <w:sz w:val="26"/>
          <w:szCs w:val="26"/>
        </w:rPr>
      </w:pPr>
      <w:bookmarkStart w:id="19" w:name="bookmark19"/>
      <w:r>
        <w:rPr>
          <w:rStyle w:val="CharStyle27"/>
          <w:rFonts w:ascii="Times New Roman" w:eastAsia="Times New Roman" w:hAnsi="Times New Roman" w:cs="Times New Roman"/>
          <w:b/>
          <w:bCs/>
          <w:sz w:val="26"/>
          <w:szCs w:val="26"/>
        </w:rPr>
        <w:t>РЕШИЛА</w:t>
      </w:r>
      <w:r>
        <w:rPr>
          <w:rStyle w:val="CharStyle27"/>
          <w:rFonts w:ascii="Times New Roman" w:eastAsia="Times New Roman" w:hAnsi="Times New Roman" w:cs="Times New Roman"/>
          <w:sz w:val="26"/>
          <w:szCs w:val="26"/>
        </w:rPr>
        <w:t>:</w:t>
      </w:r>
      <w:bookmarkEnd w:id="19"/>
    </w:p>
    <w:p>
      <w:pPr>
        <w:pStyle w:val="Style13"/>
        <w:keepNext w:val="0"/>
        <w:keepLines w:val="0"/>
        <w:widowControl w:val="0"/>
        <w:shd w:val="clear" w:color="auto" w:fill="auto"/>
        <w:bidi w:val="0"/>
        <w:spacing w:before="0" w:after="280" w:line="240" w:lineRule="auto"/>
        <w:ind w:left="0" w:right="0" w:firstLine="720"/>
        <w:jc w:val="both"/>
      </w:pPr>
      <w:r>
        <w:rPr>
          <w:rStyle w:val="CharStyle14"/>
        </w:rPr>
        <w:t xml:space="preserve">Признать жалобу общества с ограниченной ответственностью «Атлас Медикал Групп» на положения извещения о закупке Уполномоченного учреждения </w:t>
      </w:r>
      <w:r>
        <w:rPr>
          <w:rStyle w:val="CharStyle14"/>
          <w:lang w:val="en-US" w:eastAsia="en-US"/>
        </w:rPr>
        <w:t xml:space="preserve">- </w:t>
      </w:r>
      <w:r>
        <w:rPr>
          <w:rStyle w:val="CharStyle14"/>
        </w:rPr>
        <w:t xml:space="preserve">Магаданского областного государственного казенного учреждения «Центр закупок Магаданской области», Заказчика </w:t>
      </w:r>
      <w:r>
        <w:rPr>
          <w:rStyle w:val="CharStyle14"/>
          <w:lang w:val="en-US" w:eastAsia="en-US"/>
        </w:rPr>
        <w:t xml:space="preserve">- </w:t>
      </w:r>
      <w:r>
        <w:rPr>
          <w:rStyle w:val="CharStyle14"/>
        </w:rPr>
        <w:t xml:space="preserve">Государственного бюджетного учреждения здравоохранения «Магаданская областная больница» при проведении запроса котировок в электронной форме «Поставка расходного материала медицинского назначения (иглы, катетеры) для нужд ГБУЗ «Магаданская областная больница» на </w:t>
      </w:r>
      <w:r>
        <w:rPr>
          <w:rStyle w:val="CharStyle14"/>
          <w:lang w:val="en-US" w:eastAsia="en-US"/>
        </w:rPr>
        <w:t xml:space="preserve">2026 </w:t>
      </w:r>
      <w:r>
        <w:rPr>
          <w:rStyle w:val="CharStyle14"/>
        </w:rPr>
        <w:t xml:space="preserve">год (Лот </w:t>
      </w:r>
      <w:r>
        <w:rPr>
          <w:rStyle w:val="CharStyle14"/>
          <w:lang w:val="en-US" w:eastAsia="en-US"/>
        </w:rPr>
        <w:t xml:space="preserve">1)» </w:t>
      </w:r>
      <w:r>
        <w:rPr>
          <w:rStyle w:val="CharStyle14"/>
        </w:rPr>
        <w:t xml:space="preserve">(реестровый номер извещения </w:t>
      </w:r>
      <w:r>
        <w:rPr>
          <w:rStyle w:val="CharStyle14"/>
          <w:lang w:val="en-US" w:eastAsia="en-US"/>
        </w:rPr>
        <w:t xml:space="preserve">0847500000926000992) </w:t>
      </w:r>
      <w:r>
        <w:rPr>
          <w:rStyle w:val="CharStyle14"/>
        </w:rPr>
        <w:t>не обоснованной.</w:t>
      </w:r>
    </w:p>
    <w:p>
      <w:pPr>
        <w:pStyle w:val="Style13"/>
        <w:keepNext w:val="0"/>
        <w:keepLines w:val="0"/>
        <w:widowControl w:val="0"/>
        <w:shd w:val="clear" w:color="auto" w:fill="auto"/>
        <w:bidi w:val="0"/>
        <w:spacing w:before="0" w:after="640" w:line="240" w:lineRule="auto"/>
        <w:ind w:left="0" w:right="0" w:firstLine="720"/>
        <w:jc w:val="both"/>
      </w:pPr>
      <w:r>
        <w:rPr>
          <w:rStyle w:val="CharStyle14"/>
        </w:rPr>
        <w:t>Решение Комиссии Магаданского УФАС России может быть обжаловано в судебном порядке в течение трех месяцев со дня его принятия.</w:t>
      </w:r>
    </w:p>
    <w:p>
      <w:pPr>
        <w:pStyle w:val="Style13"/>
        <w:keepNext w:val="0"/>
        <w:keepLines w:val="0"/>
        <w:widowControl w:val="0"/>
        <w:shd w:val="clear" w:color="auto" w:fill="auto"/>
        <w:bidi w:val="0"/>
        <w:spacing w:before="0" w:after="440" w:line="240" w:lineRule="auto"/>
        <w:ind w:left="5320" w:right="0" w:firstLine="0"/>
        <w:jc w:val="both"/>
      </w:pPr>
      <w:r>
        <mc:AlternateContent>
          <mc:Choice Requires="wps">
            <w:drawing>
              <wp:anchor distT="0" distB="0" distL="114300" distR="114300" simplePos="0" relativeHeight="125829382" behindDoc="0" locked="0" layoutInCell="1" allowOverlap="1">
                <wp:simplePos x="0" y="0"/>
                <wp:positionH relativeFrom="margin">
                  <wp:posOffset>69850</wp:posOffset>
                </wp:positionH>
                <wp:positionV relativeFrom="paragraph">
                  <wp:posOffset>12700</wp:posOffset>
                </wp:positionV>
                <wp:extent cx="1761490" cy="746760"/>
                <wp:wrapSquare wrapText="right"/>
                <wp:docPr id="14" name="Shape 14"/>
                <a:graphic xmlns:a="http://schemas.openxmlformats.org/drawingml/2006/main">
                  <a:graphicData uri="http://schemas.microsoft.com/office/word/2010/wordprocessingShape">
                    <wps:wsp>
                      <wps:cNvSpPr txBox="1"/>
                      <wps:spPr>
                        <a:xfrm>
                          <a:ext cx="1761490" cy="746760"/>
                        </a:xfrm>
                        <a:prstGeom prst="rect"/>
                        <a:noFill/>
                      </wps:spPr>
                      <wps:txbx>
                        <w:txbxContent>
                          <w:p>
                            <w:pPr>
                              <w:pStyle w:val="Style13"/>
                              <w:keepNext w:val="0"/>
                              <w:keepLines w:val="0"/>
                              <w:widowControl w:val="0"/>
                              <w:shd w:val="clear" w:color="auto" w:fill="auto"/>
                              <w:bidi w:val="0"/>
                              <w:spacing w:before="0" w:after="440" w:line="240" w:lineRule="auto"/>
                              <w:ind w:left="0" w:right="0" w:firstLine="0"/>
                              <w:jc w:val="left"/>
                            </w:pPr>
                            <w:r>
                              <w:rPr>
                                <w:rStyle w:val="CharStyle14"/>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txbxContent>
                      </wps:txbx>
                      <wps:bodyPr lIns="0" tIns="0" rIns="0" bIns="0">
                        <a:noAutoFit/>
                      </wps:bodyPr>
                    </wps:wsp>
                  </a:graphicData>
                </a:graphic>
              </wp:anchor>
            </w:drawing>
          </mc:Choice>
          <mc:Fallback>
            <w:pict>
              <v:shape id="_x0000_s1040" type="#_x0000_t202" style="position:absolute;margin-left:5.5pt;margin-top:1.pt;width:138.70000000000002pt;height:58.800000000000004pt;z-index:-125829371;mso-wrap-distance-left:9.pt;mso-wrap-distance-right:9.pt;mso-position-horizontal-relative:margin" filled="f" stroked="f">
                <v:textbox inset="0,0,0,0">
                  <w:txbxContent>
                    <w:p>
                      <w:pPr>
                        <w:pStyle w:val="Style13"/>
                        <w:keepNext w:val="0"/>
                        <w:keepLines w:val="0"/>
                        <w:widowControl w:val="0"/>
                        <w:shd w:val="clear" w:color="auto" w:fill="auto"/>
                        <w:bidi w:val="0"/>
                        <w:spacing w:before="0" w:after="440" w:line="240" w:lineRule="auto"/>
                        <w:ind w:left="0" w:right="0" w:firstLine="0"/>
                        <w:jc w:val="left"/>
                      </w:pPr>
                      <w:r>
                        <w:rPr>
                          <w:rStyle w:val="CharStyle14"/>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txbxContent>
                </v:textbox>
                <w10:wrap type="square" side="right" anchorx="margin"/>
              </v:shape>
            </w:pict>
          </mc:Fallback>
        </mc:AlternateContent>
      </w:r>
      <w:r>
        <w:rPr>
          <w:rStyle w:val="CharStyle14"/>
        </w:rPr>
        <w:t>М.А. Романенко</w:t>
      </w:r>
    </w:p>
    <w:p>
      <w:pPr>
        <w:pStyle w:val="Style13"/>
        <w:keepNext w:val="0"/>
        <w:keepLines w:val="0"/>
        <w:widowControl w:val="0"/>
        <w:shd w:val="clear" w:color="auto" w:fill="auto"/>
        <w:bidi w:val="0"/>
        <w:spacing w:before="0" w:after="500" w:line="240" w:lineRule="auto"/>
        <w:ind w:left="5320" w:right="0" w:firstLine="0"/>
        <w:jc w:val="both"/>
      </w:pPr>
      <w:r>
        <w:rPr>
          <w:rStyle w:val="CharStyle14"/>
        </w:rPr>
        <w:t>Е.С. Ващенко</w:t>
      </w:r>
    </w:p>
    <w:p>
      <w:pPr>
        <w:pStyle w:val="Style13"/>
        <w:keepNext w:val="0"/>
        <w:keepLines w:val="0"/>
        <w:widowControl w:val="0"/>
        <w:shd w:val="clear" w:color="auto" w:fill="auto"/>
        <w:bidi w:val="0"/>
        <w:spacing w:before="0" w:after="360" w:line="240" w:lineRule="auto"/>
        <w:ind w:left="8340" w:right="0" w:firstLine="0"/>
        <w:jc w:val="both"/>
      </w:pPr>
      <w:r>
        <w:rPr>
          <w:rStyle w:val="CharStyle14"/>
        </w:rPr>
        <w:t>А.А. Наумченко</w:t>
      </w:r>
    </w:p>
    <w:sectPr>
      <w:footnotePr>
        <w:pos w:val="pageBottom"/>
        <w:numFmt w:val="decimal"/>
        <w:numRestart w:val="continuous"/>
      </w:footnotePr>
      <w:type w:val="continuous"/>
      <w:pgSz w:w="11900" w:h="16840"/>
      <w:pgMar w:top="867" w:right="492" w:bottom="771" w:left="492" w:header="0" w:footer="3" w:gutter="557"/>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337185</wp:posOffset>
              </wp:positionH>
              <wp:positionV relativeFrom="page">
                <wp:posOffset>9952355</wp:posOffset>
              </wp:positionV>
              <wp:extent cx="652145" cy="106680"/>
              <wp:wrapNone/>
              <wp:docPr id="4" name="Shape 4"/>
              <a:graphic xmlns:a="http://schemas.openxmlformats.org/drawingml/2006/main">
                <a:graphicData uri="http://schemas.microsoft.com/office/word/2010/wordprocessingShape">
                  <wps:wsp>
                    <wps:cNvSpPr txBox="1"/>
                    <wps:spPr>
                      <a:xfrm>
                        <a:ext cx="65214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2026-1470</w:t>
                          </w:r>
                        </w:p>
                      </w:txbxContent>
                    </wps:txbx>
                    <wps:bodyPr wrap="none" lIns="0" tIns="0" rIns="0" bIns="0">
                      <a:spAutoFit/>
                    </wps:bodyPr>
                  </wps:wsp>
                </a:graphicData>
              </a:graphic>
            </wp:anchor>
          </w:drawing>
        </mc:Choice>
        <mc:Fallback>
          <w:pict>
            <v:shape id="_x0000_s1030" type="#_x0000_t202" style="position:absolute;margin-left:26.550000000000001pt;margin-top:783.64999999999998pt;width:51.35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2026-1470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9854565</wp:posOffset>
              </wp:positionV>
              <wp:extent cx="652145" cy="106680"/>
              <wp:wrapNone/>
              <wp:docPr id="6" name="Shape 6"/>
              <a:graphic xmlns:a="http://schemas.openxmlformats.org/drawingml/2006/main">
                <a:graphicData uri="http://schemas.microsoft.com/office/word/2010/wordprocessingShape">
                  <wps:wsp>
                    <wps:cNvSpPr txBox="1"/>
                    <wps:spPr>
                      <a:xfrm>
                        <a:ext cx="65214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2026-1470</w:t>
                          </w:r>
                        </w:p>
                      </w:txbxContent>
                    </wps:txbx>
                    <wps:bodyPr wrap="none" lIns="0" tIns="0" rIns="0" bIns="0">
                      <a:spAutoFit/>
                    </wps:bodyPr>
                  </wps:wsp>
                </a:graphicData>
              </a:graphic>
            </wp:anchor>
          </w:drawing>
        </mc:Choice>
        <mc:Fallback>
          <w:pict>
            <v:shape id="_x0000_s1032" type="#_x0000_t202" style="position:absolute;margin-left:57.200000000000003pt;margin-top:775.95000000000005pt;width:51.35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2026-1470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3540760</wp:posOffset>
              </wp:positionH>
              <wp:positionV relativeFrom="page">
                <wp:posOffset>696595</wp:posOffset>
              </wp:positionV>
              <wp:extent cx="45720" cy="73025"/>
              <wp:wrapNone/>
              <wp:docPr id="2" name="Shape 2"/>
              <a:graphic xmlns:a="http://schemas.openxmlformats.org/drawingml/2006/main">
                <a:graphicData uri="http://schemas.microsoft.com/office/word/2010/wordprocessingShape">
                  <wps:wsp>
                    <wps:cNvSpPr txBox="1"/>
                    <wps:spPr>
                      <a:xfrm>
                        <a:ext cx="4572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78.80000000000001pt;margin-top:54.850000000000001pt;width:3.6000000000000001pt;height:5.7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16"/>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bullet"/>
      <w:lvlText w:val="-"/>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199"/>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66199"/>
      <w:sz w:val="19"/>
      <w:szCs w:val="19"/>
      <w:u w:val="none"/>
    </w:rPr>
  </w:style>
  <w:style w:type="character" w:customStyle="1" w:styleId="CharStyle11">
    <w:name w:val="Body text (6)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Other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Table caption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Body text (2)_"/>
    <w:basedOn w:val="DefaultParagraphFont"/>
    <w:link w:val="Style21"/>
    <w:rPr>
      <w:b w:val="0"/>
      <w:bCs w:val="0"/>
      <w:i w:val="0"/>
      <w:iCs w:val="0"/>
      <w:smallCaps w:val="0"/>
      <w:strike w:val="0"/>
      <w:sz w:val="22"/>
      <w:szCs w:val="22"/>
      <w:u w:val="none"/>
    </w:rPr>
  </w:style>
  <w:style w:type="character" w:customStyle="1" w:styleId="CharStyle25">
    <w:name w:val="Body text (5)_"/>
    <w:basedOn w:val="DefaultParagraphFont"/>
    <w:link w:val="Style24"/>
    <w:rPr>
      <w:rFonts w:ascii="Arial" w:eastAsia="Arial" w:hAnsi="Arial" w:cs="Arial"/>
      <w:b w:val="0"/>
      <w:bCs w:val="0"/>
      <w:i w:val="0"/>
      <w:iCs w:val="0"/>
      <w:smallCaps w:val="0"/>
      <w:strike w:val="0"/>
      <w:sz w:val="36"/>
      <w:szCs w:val="36"/>
      <w:u w:val="none"/>
      <w:lang w:val="en-US" w:eastAsia="en-US"/>
    </w:rPr>
  </w:style>
  <w:style w:type="character" w:customStyle="1" w:styleId="CharStyle27">
    <w:name w:val="Heading #1_"/>
    <w:basedOn w:val="DefaultParagraphFont"/>
    <w:link w:val="Style26"/>
    <w:rPr>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80" w:line="298" w:lineRule="auto"/>
      <w:jc w:val="center"/>
    </w:pPr>
    <w:rPr>
      <w:rFonts w:ascii="Times New Roman" w:eastAsia="Times New Roman" w:hAnsi="Times New Roman" w:cs="Times New Roman"/>
      <w:b w:val="0"/>
      <w:bCs w:val="0"/>
      <w:i w:val="0"/>
      <w:iCs w:val="0"/>
      <w:smallCaps w:val="0"/>
      <w:strike w:val="0"/>
      <w:color w:val="466199"/>
      <w:sz w:val="16"/>
      <w:szCs w:val="16"/>
      <w:u w:val="none"/>
    </w:rPr>
  </w:style>
  <w:style w:type="paragraph" w:customStyle="1" w:styleId="Style8">
    <w:name w:val="Body text (4)"/>
    <w:basedOn w:val="Normal"/>
    <w:link w:val="CharStyle9"/>
    <w:pPr>
      <w:widowControl w:val="0"/>
      <w:shd w:val="clear" w:color="auto" w:fill="auto"/>
      <w:spacing w:after="40" w:line="221" w:lineRule="auto"/>
      <w:jc w:val="center"/>
    </w:pPr>
    <w:rPr>
      <w:rFonts w:ascii="Times New Roman" w:eastAsia="Times New Roman" w:hAnsi="Times New Roman" w:cs="Times New Roman"/>
      <w:b/>
      <w:bCs/>
      <w:i w:val="0"/>
      <w:iCs w:val="0"/>
      <w:smallCaps w:val="0"/>
      <w:strike w:val="0"/>
      <w:color w:val="466199"/>
      <w:sz w:val="19"/>
      <w:szCs w:val="19"/>
      <w:u w:val="none"/>
    </w:rPr>
  </w:style>
  <w:style w:type="paragraph" w:customStyle="1" w:styleId="Style10">
    <w:name w:val="Body text (6)"/>
    <w:basedOn w:val="Normal"/>
    <w:link w:val="CharStyle11"/>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Other"/>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Table caption"/>
    <w:basedOn w:val="Normal"/>
    <w:link w:val="CharStyle19"/>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Body text (2)"/>
    <w:basedOn w:val="Normal"/>
    <w:link w:val="CharStyle22"/>
    <w:pPr>
      <w:widowControl w:val="0"/>
      <w:shd w:val="clear" w:color="auto" w:fill="auto"/>
    </w:pPr>
    <w:rPr>
      <w:b w:val="0"/>
      <w:bCs w:val="0"/>
      <w:i w:val="0"/>
      <w:iCs w:val="0"/>
      <w:smallCaps w:val="0"/>
      <w:strike w:val="0"/>
      <w:sz w:val="22"/>
      <w:szCs w:val="22"/>
      <w:u w:val="none"/>
    </w:rPr>
  </w:style>
  <w:style w:type="paragraph" w:customStyle="1" w:styleId="Style24">
    <w:name w:val="Body text (5)"/>
    <w:basedOn w:val="Normal"/>
    <w:link w:val="CharStyle25"/>
    <w:pPr>
      <w:widowControl w:val="0"/>
      <w:shd w:val="clear" w:color="auto" w:fill="auto"/>
      <w:spacing w:after="320"/>
    </w:pPr>
    <w:rPr>
      <w:rFonts w:ascii="Arial" w:eastAsia="Arial" w:hAnsi="Arial" w:cs="Arial"/>
      <w:b w:val="0"/>
      <w:bCs w:val="0"/>
      <w:i w:val="0"/>
      <w:iCs w:val="0"/>
      <w:smallCaps w:val="0"/>
      <w:strike w:val="0"/>
      <w:sz w:val="36"/>
      <w:szCs w:val="36"/>
      <w:u w:val="none"/>
      <w:lang w:val="en-US" w:eastAsia="en-US"/>
    </w:rPr>
  </w:style>
  <w:style w:type="paragraph" w:customStyle="1" w:styleId="Style26">
    <w:name w:val="Heading #1"/>
    <w:basedOn w:val="Normal"/>
    <w:link w:val="CharStyle27"/>
    <w:pPr>
      <w:widowControl w:val="0"/>
      <w:shd w:val="clear" w:color="auto" w:fill="auto"/>
      <w:spacing w:after="130"/>
      <w:ind w:left="4780"/>
      <w:outlineLvl w:val="0"/>
    </w:pPr>
    <w:rPr>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