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/>
        <w:ind w:left="0" w:right="0" w:firstLine="0"/>
        <w:jc w:val="both"/>
      </w:pPr>
      <w:r>
        <w:rPr>
          <w:rStyle w:val="CharStyle9"/>
        </w:rPr>
        <w:tab/>
        <w:t xml:space="preserve"> №</w:t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1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ИП Мик Ирина Александровна ул. Комарова, д. 7А, кв. 81, г. Абакан, Республика Хакасия, 655010 </w:t>
      </w:r>
      <w:r>
        <w:fldChar w:fldCharType="begin"/>
      </w:r>
      <w:r>
        <w:rPr/>
        <w:instrText> HYPERLINK "mailto:ipmik70ia@gmail.com" </w:instrText>
      </w:r>
      <w:r>
        <w:fldChar w:fldCharType="separate"/>
      </w:r>
      <w:r>
        <w:rPr>
          <w:rStyle w:val="CharStyle13"/>
          <w:lang w:val="en-US" w:eastAsia="en-US"/>
        </w:rPr>
        <w:t>ipmik70ia@gmail.com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Департамент градостроительства Администрации города Красноярска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ул. Карла Маркса, 93, г. Красноярск, 660049 </w:t>
      </w:r>
      <w:r>
        <w:fldChar w:fldCharType="begin"/>
      </w:r>
      <w:r>
        <w:rPr/>
        <w:instrText> HYPERLINK "mailto:grad@admkrsk.ru" </w:instrText>
      </w:r>
      <w:r>
        <w:fldChar w:fldCharType="separate"/>
      </w:r>
      <w:r>
        <w:rPr>
          <w:rStyle w:val="CharStyle13"/>
          <w:lang w:val="en-US" w:eastAsia="en-US"/>
        </w:rPr>
        <w:t>grad@admkrsk.ru</w:t>
      </w:r>
      <w:r>
        <w:fldChar w:fldCharType="end"/>
      </w:r>
      <w:r>
        <w:rPr>
          <w:rStyle w:val="CharStyle13"/>
          <w:lang w:val="en-US" w:eastAsia="en-US"/>
        </w:rPr>
        <w:t xml:space="preserve">; </w:t>
      </w:r>
      <w:r>
        <w:fldChar w:fldCharType="begin"/>
      </w:r>
      <w:r>
        <w:rPr/>
        <w:instrText> HYPERLINK "mailto:belkovskaya@admkrsk.ru" </w:instrText>
      </w:r>
      <w:r>
        <w:fldChar w:fldCharType="separate"/>
      </w:r>
      <w:r>
        <w:rPr>
          <w:rStyle w:val="CharStyle13"/>
          <w:lang w:val="en-US" w:eastAsia="en-US"/>
        </w:rPr>
        <w:t>belkovskaya@admkrsk.ru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rStyle w:val="CharStyle13"/>
        </w:rPr>
        <w:t xml:space="preserve">Департамент муниципального заказа администрации города Красноярска ул. Карла Маркса, д. 93, г. Красноярск, 660049 </w:t>
      </w:r>
      <w:r>
        <w:fldChar w:fldCharType="begin"/>
      </w:r>
      <w:r>
        <w:rPr/>
        <w:instrText> HYPERLINK "mailto:evsh@admkrsk.ru" </w:instrText>
      </w:r>
      <w:r>
        <w:fldChar w:fldCharType="separate"/>
      </w:r>
      <w:r>
        <w:rPr>
          <w:rStyle w:val="CharStyle13"/>
          <w:lang w:val="en-US" w:eastAsia="en-US"/>
        </w:rPr>
        <w:t>evsh@admkrsk.ru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lang w:val="en-US" w:eastAsia="en-US"/>
        </w:rPr>
        <w:t xml:space="preserve">OOO </w:t>
      </w:r>
      <w:r>
        <w:rPr>
          <w:rStyle w:val="CharStyle13"/>
        </w:rPr>
        <w:t>«РТС-тендер»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743" w:bottom="1313" w:left="1135" w:header="0" w:footer="3" w:gutter="0"/>
          <w:pgNumType w:start="1"/>
          <w:cols w:num="2" w:space="720" w:equalWidth="0">
            <w:col w:w="4099" w:space="1166"/>
            <w:col w:w="4757"/>
          </w:cols>
          <w:noEndnote/>
          <w:titlePg/>
          <w:rtlGutter w:val="0"/>
          <w:docGrid w:linePitch="360"/>
        </w:sectPr>
      </w:pPr>
      <w:r>
        <w:rPr>
          <w:rStyle w:val="CharStyle13"/>
        </w:rPr>
        <w:t xml:space="preserve">Тараса Шевченко наб., д. 23А, 25 этаж, помещ. 1, Дорогомиловский р-н., г. Москва, 121151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3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before="53" w:after="5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9" w:right="0" w:bottom="13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3"/>
        </w:rPr>
        <w:t>Решение № 024/06/105-1329/2026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rStyle w:val="CharStyle13"/>
        </w:rPr>
        <w:t>4 мая 2026 года г. Красноярск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Красноярского УФАС России по рассмотрению жалоб и проведению внеплановых проверок в составе: Председатель Комиссии – Хорышев Е.О., врио заместителя руководителя; члены Комиссии: Варава К.С., заместитель начальника отдела; Миракян Н.Е., ведущий специалист-эксперт (далее – Комиссия), рассмотрев жалобу ИП Мик Ирины Александровны (далее – Податель жалобы) на действия заказчика – Департамента муниципального заказа администрации города Красноярска (далее — Уполномоченный орган) при проведении электронного аукциона «Приобретение в муниципальную собственность жилого помещения – квартиры в рамках реализации муниципальной программы «Обеспечение граждан города Красноярска жилыми помещениями и объектами инженерно-транспортной и коммунальной инфраструктуры»» (далее – аукцион), извещение № 0119300019826000658, ИКЗ 263246621661924660100101470016810412, на электронной торговой площадке РТС-тендер (далее – оператор электронной площадки),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Существо жалобы: нарушение аукционной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рассмотрении заявок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Жалоба соответствует требованиям частей 2 и 4 статьи 105 Закона о контрактной системе, в связи с чем принята к рассмотрению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адреса Подателя жалобы, Заказчика, Уполномоченного органа, Оператора ЭП посредством электронной почты направлено уведомление, содержащее информацию о месте, дате и времени заседания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Уведомление также размещено на официальном сайте ЕИС в сфере закупок в разделе «жалобы» реестра жалоб, плановых и внеплановых проверок, их результатов и выданных предписаний, что считается надлежащим уведомлением о дате и времени заседания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Уведомлением, направленным Подателю жалобы, Заказчику, Уполномоченному органу, Оператору ЭП предложено предоставить в адрес Красноярского УФАС России документы и сведения, необходимые для рассмотрения жалобы по существу.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3"/>
        </w:rPr>
        <w:t>До начала заседания в адрес Комиссии поступило ходатайство от Заказчика о рассмотрении жалобы в отсутствие представителей. Данное ходатайство рассмотрено и удовлетворено.</w:t>
      </w:r>
    </w:p>
    <w:p>
      <w:pPr>
        <w:widowControl w:val="0"/>
        <w:spacing w:line="1" w:lineRule="exact"/>
      </w:pPr>
      <w:r>
        <w:drawing>
          <wp:anchor distT="381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38100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Заседание состоялось </w:t>
      </w:r>
      <w:r>
        <w:rPr>
          <w:rStyle w:val="CharStyle13"/>
          <w:lang w:val="en-US" w:eastAsia="en-US"/>
        </w:rPr>
        <w:t xml:space="preserve">04 </w:t>
      </w:r>
      <w:r>
        <w:rPr>
          <w:rStyle w:val="CharStyle13"/>
        </w:rPr>
        <w:t xml:space="preserve">мая </w:t>
      </w:r>
      <w:r>
        <w:rPr>
          <w:rStyle w:val="CharStyle13"/>
          <w:lang w:val="en-US" w:eastAsia="en-US"/>
        </w:rPr>
        <w:t xml:space="preserve">2026 </w:t>
      </w:r>
      <w:r>
        <w:rPr>
          <w:rStyle w:val="CharStyle13"/>
        </w:rPr>
        <w:t xml:space="preserve">в </w:t>
      </w:r>
      <w:r>
        <w:rPr>
          <w:rStyle w:val="CharStyle13"/>
          <w:lang w:val="en-US" w:eastAsia="en-US"/>
        </w:rPr>
        <w:t xml:space="preserve">10 </w:t>
      </w:r>
      <w:r>
        <w:rPr>
          <w:rStyle w:val="CharStyle13"/>
        </w:rPr>
        <w:t xml:space="preserve">часов </w:t>
      </w:r>
      <w:r>
        <w:rPr>
          <w:rStyle w:val="CharStyle13"/>
          <w:lang w:val="en-US" w:eastAsia="en-US"/>
        </w:rPr>
        <w:t xml:space="preserve">00 </w:t>
      </w:r>
      <w:r>
        <w:rPr>
          <w:rStyle w:val="CharStyle13"/>
        </w:rPr>
        <w:t xml:space="preserve">минут </w:t>
      </w:r>
      <w:r>
        <w:rPr>
          <w:rStyle w:val="CharStyle13"/>
          <w:lang w:val="en-US" w:eastAsia="en-US"/>
        </w:rPr>
        <w:t xml:space="preserve">(UTC + 7; </w:t>
      </w:r>
      <w:r>
        <w:rPr>
          <w:rStyle w:val="CharStyle13"/>
        </w:rPr>
        <w:t xml:space="preserve">МСК </w:t>
      </w:r>
      <w:r>
        <w:rPr>
          <w:rStyle w:val="CharStyle13"/>
          <w:lang w:val="en-US" w:eastAsia="en-US"/>
        </w:rPr>
        <w:t xml:space="preserve">+ 4) </w:t>
      </w:r>
      <w:r>
        <w:rPr>
          <w:rStyle w:val="CharStyle13"/>
        </w:rPr>
        <w:t xml:space="preserve">по адресу: г. Красноярск, пр. Мира, </w:t>
      </w:r>
      <w:r>
        <w:rPr>
          <w:rStyle w:val="CharStyle13"/>
          <w:lang w:val="en-US" w:eastAsia="en-US"/>
        </w:rPr>
        <w:t xml:space="preserve">81 </w:t>
      </w:r>
      <w:r>
        <w:rPr>
          <w:rStyle w:val="CharStyle13"/>
        </w:rPr>
        <w:t xml:space="preserve">Д, каб. </w:t>
      </w:r>
      <w:r>
        <w:rPr>
          <w:rStyle w:val="CharStyle13"/>
          <w:lang w:val="en-US" w:eastAsia="en-US"/>
        </w:rPr>
        <w:t xml:space="preserve">20. </w:t>
      </w:r>
      <w:r>
        <w:rPr>
          <w:rStyle w:val="CharStyle13"/>
        </w:rPr>
        <w:t>Рассмотрение жалобы состоялось в отсутствие представителей Заказчика, Уполномоченного органа, Подателя жалобы, уведомленных надлежащим образом о времени и месте рассмотрения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Комиссия, во исполнение полномочий, возложенных подпунктом «б»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 xml:space="preserve">Закона о контрактной системе, а также подпунктом </w:t>
      </w:r>
      <w:r>
        <w:rPr>
          <w:rStyle w:val="CharStyle13"/>
          <w:lang w:val="en-US" w:eastAsia="en-US"/>
        </w:rPr>
        <w:t xml:space="preserve">5.3.7 </w:t>
      </w:r>
      <w:r>
        <w:rPr>
          <w:rStyle w:val="CharStyle13"/>
        </w:rPr>
        <w:t xml:space="preserve">Положения о Федеральной антимонопольной службе и подпунктом </w:t>
      </w:r>
      <w:r>
        <w:rPr>
          <w:rStyle w:val="CharStyle13"/>
          <w:lang w:val="en-US" w:eastAsia="en-US"/>
        </w:rPr>
        <w:t xml:space="preserve">7.5 </w:t>
      </w:r>
      <w:r>
        <w:rPr>
          <w:rStyle w:val="CharStyle13"/>
        </w:rPr>
        <w:t>Положения о территориальном органе ФАС России, в соответствии с Правилам осуществления контроля в сфере закупок,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 содержании жалобы указано, что заявка Подателя жалобы отклонена в нарушение требований Закона о контрактной системе, по мнению Подателя жалобы, у представителя Подателя жалобы имелись полномочия на участие в закупке.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Рассмотрев существо жалобы, документы и сведения, представленные сторонами и размещенные на официальном сайте ЕИС в сфере закупок, проанализировав нормы права, регулирующие рассматриваемые правоотношения, проведя внеплановую проверку, Комиссия установила следующие обстоятельства.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Заказчиком </w:t>
      </w:r>
      <w:r>
        <w:rPr>
          <w:rStyle w:val="CharStyle13"/>
          <w:lang w:val="en-US" w:eastAsia="en-US"/>
        </w:rPr>
        <w:t xml:space="preserve">08.04.2026 </w:t>
      </w:r>
      <w:r>
        <w:rPr>
          <w:rStyle w:val="CharStyle13"/>
        </w:rPr>
        <w:t xml:space="preserve">в ЕИС размещено извещение о проведении закупки, объектом которой является «Приобретение в муниципальную собственность жилого помещения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квартиры в рамках реализации муниципальной программы «Обеспечение граждан города Красноярска жилыми помещениями и объектами инженерно-транспортной и коммунальной инфраструктуры»».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 xml:space="preserve">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«п» пункта </w:t>
      </w:r>
      <w:r>
        <w:rPr>
          <w:rStyle w:val="CharStyle13"/>
          <w:lang w:val="en-US" w:eastAsia="en-US"/>
        </w:rPr>
        <w:t xml:space="preserve">1, </w:t>
      </w:r>
      <w:r>
        <w:rPr>
          <w:rStyle w:val="CharStyle13"/>
        </w:rPr>
        <w:t xml:space="preserve">подпунктами «а»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«в» пункта </w:t>
      </w:r>
      <w:r>
        <w:rPr>
          <w:rStyle w:val="CharStyle13"/>
          <w:lang w:val="en-US" w:eastAsia="en-US"/>
        </w:rPr>
        <w:t xml:space="preserve">2, </w:t>
      </w:r>
      <w:r>
        <w:rPr>
          <w:rStyle w:val="CharStyle13"/>
        </w:rPr>
        <w:t xml:space="preserve">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Закона о контрактной системе. Заявка также может содержать информацию и документы, предусмотренные подпунктом «д» пункта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Согласно подпункту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 xml:space="preserve">Закон о контрактной системе комиссия по осуществлению закупок рассматривает заявки на участие в закупке, информацию и документы, направленные оператором электронной площадки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Как установлено Комиссией, на участие в закупке подано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заявки, согласно протоколу подведения итогов от </w:t>
      </w:r>
      <w:r>
        <w:rPr>
          <w:rStyle w:val="CharStyle13"/>
          <w:lang w:val="en-US" w:eastAsia="en-US"/>
        </w:rPr>
        <w:t xml:space="preserve">23.04.2026 </w:t>
      </w:r>
      <w:r>
        <w:rPr>
          <w:rStyle w:val="CharStyle13"/>
        </w:rPr>
        <w:t xml:space="preserve">№ИЭА1. По результатам рассмотрения заявок аукционной комиссией принято решение о признании соответствующей требованиям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заявок,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>заявка отклонена.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Комиссия ознакомилась с требованиями извещения и заявками участников, направленными Оператором ЭП, проанализировав их, пришла к следующему выводу.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Подателем жалобы подана заявка, в которой содержалась доверенность собственника жилого помещения, предлагаемого к поставке. В указанной доверенности собственник жилого помещения наделил Подателя жалобы следующими полномочиями: </w:t>
      </w:r>
      <w:r>
        <w:rPr>
          <w:rStyle w:val="CharStyle13"/>
          <w:lang w:val="en-US" w:eastAsia="en-US"/>
        </w:rPr>
        <w:t xml:space="preserve">«… </w:t>
      </w:r>
      <w:r>
        <w:rPr>
          <w:rStyle w:val="CharStyle13"/>
        </w:rPr>
        <w:t xml:space="preserve">с правом подачи заявки на участие в электронном аукционе, подписания контракта от моего имени, с правом ознакомления или отказа от ознакомления с документами и выставляемым на торги имуществом, подавать заявку на участие в электронном аукционе, с правом подачи документов, необходимых для участия в </w:t>
      </w:r>
      <w:r>
        <w:rPr>
          <w:rStyle w:val="CharStyle13"/>
          <w:lang w:val="en-US" w:eastAsia="en-US"/>
        </w:rPr>
        <w:t>торгах…».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27 </w:t>
      </w:r>
      <w:r>
        <w:rPr>
          <w:rStyle w:val="CharStyle13"/>
        </w:rPr>
        <w:t xml:space="preserve">Закона о контрактной системе участники закупки, обладающие соответствующей правоспособностью, могут как реализовать своё субъективное право на участие в закупке непосредственно, так и передать возможность осуществление такого субъективного права иному лицу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представителю, такая передача возможности осуществления субъективного права должна быть подтверждена доверенностью.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Из положений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182 </w:t>
      </w:r>
      <w:r>
        <w:rPr>
          <w:rStyle w:val="CharStyle13"/>
        </w:rPr>
        <w:t xml:space="preserve">Гражданского кодекса Российской Федерации (далее </w:t>
      </w:r>
      <w:r>
        <w:rPr>
          <w:rStyle w:val="CharStyle13"/>
          <w:lang w:val="en-US" w:eastAsia="en-US"/>
        </w:rPr>
        <w:t xml:space="preserve">— </w:t>
      </w:r>
      <w:r>
        <w:rPr>
          <w:rStyle w:val="CharStyle13"/>
        </w:rPr>
        <w:t>ГК РФ) следует, что акт реализации субъективного права представляемого лица его представителем должен осуществляться представителем от имени представляемого.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Кроме того, пунктом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182 </w:t>
      </w:r>
      <w:r>
        <w:rPr>
          <w:rStyle w:val="CharStyle13"/>
        </w:rPr>
        <w:t>ГК РФ предусмотрено, что субъекты, действующие хотя и в интересах иных лиц, но от собственного имени, не являются представителями.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Соответственно, посредник, реализующий своё субъективное право на участие в закупке и действующий от своего имени, но в интересах собственника жилого помещения не может являться представителем, такое участие в закупке не соответствует положениям части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27 </w:t>
      </w:r>
      <w:r>
        <w:rPr>
          <w:rStyle w:val="CharStyle13"/>
        </w:rPr>
        <w:t>Закона о контрактной системе. Участие в закупке посредника от своего имени является иной правовой категорией, не является тождественной представительству от имени собственника жилого помещения.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В силу пунктов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209 </w:t>
      </w:r>
      <w:r>
        <w:rPr>
          <w:rStyle w:val="CharStyle13"/>
        </w:rPr>
        <w:t xml:space="preserve">ГК РФ в состав динамической правоспособности собственника жилого помещения входит возможность реализации субъективного права на распоряжение таким жилым помещением, в том числе через куплю-продажу недвижимости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549 </w:t>
      </w:r>
      <w:r>
        <w:rPr>
          <w:rStyle w:val="CharStyle13"/>
        </w:rPr>
        <w:t>ГК РФ.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Вместе с тем Комиссией было установлено, что предметом закупки являлась именно купля-продажа жилого помещения для обеспечения муниципальных нужд.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Таким образом, собственник жилого помещения вправе реализовать своё субъективное право на участие в закупке или непосредственно или через представителя, вместе с тем такой представитель должен подавать заявку от имени собственника, то есть участником закупки должно выступать именно физ. лицо.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Комиссией установлено, что в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заявках, признанных соответствующими требованиям, участники предложили к поставке жилое помещение, соответствующее требованиям извещения, также в составе заявки отсутствовала доверенность на представителя, исходя из чего Комиссия пришла к выводу, что участники действуют непосредственно от своего имени, на основании чего данные заявки правомерно признаны соответствующими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 xml:space="preserve">Поскольку заявка Подателя жалобы была подана представителем в статусе самостоятельного участника закупки, но собственником предлагаемого к продаже жилого помещения является иное лицо, аукционная комиссия правомерно пришла к выводу, что заявка, поданная Подателем жалобы, не соответствует требованиям закупки и пункту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Учитывая изложенное, Комиссия не усматривает нарушений законодательства о контрактной системе в действиях аукционной комиссии субъекта контроля на этапе рассмотрения заявок участника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3"/>
        </w:rPr>
        <w:t xml:space="preserve">На основании вышеизложенных обстоятельств, в результате рассмотрения жалобы по существу и проведения внеплановой проверки, руководствуясь частями </w:t>
      </w:r>
      <w:r>
        <w:rPr>
          <w:rStyle w:val="CharStyle13"/>
          <w:lang w:val="en-US" w:eastAsia="en-US"/>
        </w:rPr>
        <w:t xml:space="preserve">3, 15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99, </w:t>
      </w:r>
      <w:r>
        <w:rPr>
          <w:rStyle w:val="CharStyle13"/>
        </w:rPr>
        <w:t xml:space="preserve">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Комиссия Красноярского УФАС России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3"/>
        </w:rPr>
        <w:t>РЕШИЛА: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3"/>
        </w:rPr>
        <w:t>Признать жалобу ИП Мик Ирины Александровны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rStyle w:val="CharStyle13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mc:AlternateContent>
          <mc:Choice Requires="wps">
            <w:drawing>
              <wp:anchor distT="0" distB="481330" distL="114300" distR="114300" simplePos="0" relativeHeight="125829379" behindDoc="0" locked="0" layoutInCell="1" allowOverlap="1">
                <wp:simplePos x="0" y="0"/>
                <wp:positionH relativeFrom="page">
                  <wp:posOffset>6327775</wp:posOffset>
                </wp:positionH>
                <wp:positionV relativeFrom="paragraph">
                  <wp:posOffset>12700</wp:posOffset>
                </wp:positionV>
                <wp:extent cx="880745" cy="20129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Е.О. Хорышев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8.25pt;margin-top:1.pt;width:69.350000000000009pt;height:15.85pt;z-index:-125829374;mso-wrap-distance-left:9.pt;mso-wrap-distance-right:9.pt;mso-wrap-distance-bottom:37.8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Е.О. Хорышев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81330" distB="0" distL="251460" distR="120015" simplePos="0" relativeHeight="125829381" behindDoc="0" locked="0" layoutInCell="1" allowOverlap="1">
                <wp:simplePos x="0" y="0"/>
                <wp:positionH relativeFrom="page">
                  <wp:posOffset>6464935</wp:posOffset>
                </wp:positionH>
                <wp:positionV relativeFrom="paragraph">
                  <wp:posOffset>494030</wp:posOffset>
                </wp:positionV>
                <wp:extent cx="737870" cy="20129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787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3"/>
                              </w:rPr>
                              <w:t>К.С. Варава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9.05000000000001pt;margin-top:38.899999999999999pt;width:58.100000000000001pt;height:15.85pt;z-index:-125829372;mso-wrap-distance-left:19.800000000000001pt;mso-wrap-distance-top:37.899999999999999pt;mso-wrap-distance-right:9.450000000000001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3"/>
                        </w:rPr>
                        <w:t>К.С. Варава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20"/>
        <w:jc w:val="both"/>
      </w:pPr>
      <w:r>
        <w:rPr>
          <w:rStyle w:val="CharStyle13"/>
        </w:rPr>
        <w:t>Члены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20" w:line="240" w:lineRule="auto"/>
        <w:ind w:left="0" w:right="0" w:firstLine="0"/>
        <w:jc w:val="right"/>
      </w:pPr>
      <w:r>
        <w:rPr>
          <w:rStyle w:val="CharStyle13"/>
        </w:rPr>
        <w:t>Н.Е. Миракян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  <w:color w:val="000000"/>
        </w:rPr>
        <w:t>Исп.Миракян Н.Е.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6"/>
          <w:color w:val="000000"/>
        </w:rPr>
        <w:t>тел.2110144, вн.024-134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29" w:right="539" w:bottom="1362" w:left="110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10088245</wp:posOffset>
              </wp:positionV>
              <wp:extent cx="3267710" cy="1308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308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2026-6768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94.35000000000002pt;width:257.30000000000001pt;height:10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2026-6768</w:t>
                      <w:tab/>
                    </w:r>
                    <w:fldSimple w:instr=" PAGE \* MERGEFORMAT ">
                      <w:r>
                        <w:rPr>
                          <w:rStyle w:val="CharStyle3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2026-6768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2026-6768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40"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/Relationships>
</file>