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ФГБУ «НМИЦ ДГОИ им. Дмитрия Рогачева»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"mailto:goszakupki@dgoi.ru" </w:instrText>
      </w:r>
      <w:r>
        <w:fldChar w:fldCharType="separate"/>
      </w:r>
      <w:r>
        <w:rPr>
          <w:rStyle w:val="CharStyle10"/>
          <w:lang w:val="en-US" w:eastAsia="en-US"/>
        </w:rPr>
        <w:t>goszakupki@dgoi.ru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ООО «Прософтинжениринг»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32" w:bottom="708" w:left="1135" w:header="0" w:footer="3" w:gutter="0"/>
          <w:pgNumType w:start="1"/>
          <w:cols w:num="2" w:space="1008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"mailto:tender@prosoftengineering.ru" </w:instrText>
      </w:r>
      <w:r>
        <w:fldChar w:fldCharType="separate"/>
      </w:r>
      <w:r>
        <w:rPr>
          <w:rStyle w:val="CharStyle10"/>
          <w:lang w:val="en-US" w:eastAsia="en-US"/>
        </w:rPr>
        <w:t>tender@prosoftengineering.ru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3" w:right="0" w:bottom="5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0"/>
          <w:b/>
          <w:bCs/>
        </w:rPr>
        <w:t>по делу №077/06/105-5544/2026 о нарушении</w:t>
        <w:br/>
        <w:t>законодательства о контрактной системе</w:t>
      </w:r>
    </w:p>
    <w:p>
      <w:pPr>
        <w:pStyle w:val="Style13"/>
        <w:keepNext/>
        <w:keepLines/>
        <w:widowControl w:val="0"/>
        <w:shd w:val="clear" w:color="auto" w:fill="auto"/>
        <w:tabs>
          <w:tab w:pos="8395" w:val="left"/>
        </w:tabs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14"/>
          <w:b/>
          <w:bCs/>
        </w:rPr>
        <w:t>04.05.2026</w:t>
        <w:tab/>
        <w:t>г. Москва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Специалиста-эксперта отдела обжалования государственных закупок А.С. Хлебниковой,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рассмотрение жалобы проводилось дистанционно (посредством видео-конференц-связи),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при участии представителей: </w:t>
      </w:r>
      <w:r>
        <w:rPr>
          <w:rStyle w:val="CharStyle10"/>
        </w:rPr>
        <w:t xml:space="preserve">ООО «Прософтинжениринг»: Платухиной Е.В (дов.№б/н от 30.04.2026), Румянцева И.С. (дов.№б/н от 30.04.2026), </w:t>
      </w:r>
      <w:r>
        <w:rPr>
          <w:rStyle w:val="CharStyle10"/>
        </w:rPr>
        <w:t>ФГБУ «НМИЦ ДГОИ им. Дмитрия Рогачева» Минздрава России</w:t>
      </w:r>
      <w:r>
        <w:rPr>
          <w:rStyle w:val="CharStyle10"/>
        </w:rPr>
        <w:t>: Бакаевой Н.С. (дов.№53/2024 от 05.07.2025)</w:t>
      </w:r>
      <w:r>
        <w:rPr>
          <w:rStyle w:val="CharStyle10"/>
        </w:rPr>
        <w:t>; Балтачева С.В. (дов.№71/2025 от 25.08.2025),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рассмотрев жалобу </w:t>
      </w:r>
      <w:r>
        <w:rPr>
          <w:rStyle w:val="CharStyle10"/>
        </w:rPr>
        <w:t xml:space="preserve">ООО «Прософтинжениринг» </w:t>
      </w:r>
      <w:r>
        <w:rPr>
          <w:rStyle w:val="CharStyle10"/>
        </w:rPr>
        <w:t>(далее — Заявитель) на действия ФГБУ «НМИЦ ДГОИ им. Дмитрия рогачева» Минздрава России (далее - Заказчик) при проведении электронного аукциона на право заключения государственного контракта на оказание услуг по сопровождению компонентов информационной системы финансово-хозяйственная деятельность: Подсистема «Бухгалтерский учет», Подсистема «Управление персоналом», Подсистема «Единый складской учет», Подсистема «Лечебное питание», Подсистема «Закупки и исполнение», Подсистема «Учет первичных документов» с приобретением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0"/>
        </w:rPr>
        <w:t xml:space="preserve">неисключительных прав (лицензий) на программное обеспечение (Закупка </w:t>
      </w:r>
      <w:r>
        <w:rPr>
          <w:rStyle w:val="CharStyle10"/>
          <w:lang w:val="en-US" w:eastAsia="en-US"/>
        </w:rPr>
        <w:t>№0373100041026000428)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аукцион), в соответствии с Федеральным законом от </w:t>
      </w:r>
      <w:r>
        <w:rPr>
          <w:rStyle w:val="CharStyle10"/>
          <w:lang w:val="en-US" w:eastAsia="en-US"/>
        </w:rPr>
        <w:t xml:space="preserve">05.04.2013 </w:t>
      </w:r>
      <w:r>
        <w:rPr>
          <w:rStyle w:val="CharStyle10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В составе жалобы Заявитель указывает, что Заказчиком неправомерно в один лот объединена поставка конкретного программного обеспечения и оказание услуг по сопровождению компонентов информационной системы, так как, по мнению Заявителя, формирование лота данным образом ограничивает количество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в описании объекта закупки Заказчиком не размещены данные о информационной системе обработки обращений пользователей, в рамках которой необходимо осуществить взаимодействие исполнителю.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3" w:val="left"/>
        </w:tabs>
        <w:bidi w:val="0"/>
        <w:spacing w:before="0" w:after="28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3" w:right="534" w:bottom="559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Комиссией Управления установлено, что в извещении об осуществлении закупки содержатся сведения о следующие объектах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«Оказание услуг по сопровождению компонентов информационной системы финансово-хозяйственная деятельность: Подсистема «Бухгалтерский учет», Подсистема «Управление персоналом», Подсистема «Единый складской учет», Подсистема «Лечебное питание», Подсистема «Закупки и исполнение», Подсистема «Учет первичных документов», идентификатор товарной позиции </w:t>
      </w:r>
      <w:r>
        <w:rPr>
          <w:rStyle w:val="CharStyle10"/>
          <w:lang w:val="en-US" w:eastAsia="en-US"/>
        </w:rPr>
        <w:t>212006811;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«Предоставление неисключительных прав (лицензий) на программное обеспечение «Лицензия на программное обеспечение ПЗ «Инвентаризация- Штрихкод»», идентификатор товарной позиции </w:t>
      </w:r>
      <w:r>
        <w:rPr>
          <w:rStyle w:val="CharStyle10"/>
          <w:lang w:val="en-US" w:eastAsia="en-US"/>
        </w:rPr>
        <w:t>212006812.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Также Комиссией Управления установлено, что в описании объекта закупки в том числе указано: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.1. </w:t>
      </w:r>
      <w:r>
        <w:rPr>
          <w:rStyle w:val="CharStyle10"/>
        </w:rPr>
        <w:t>Предоставление центра обработки обращений пользователей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Исполнитель должен обеспечить непрерывный прием обращений от сотрудников Заказчика по рабочим дням с </w:t>
      </w:r>
      <w:r>
        <w:rPr>
          <w:rStyle w:val="CharStyle10"/>
          <w:lang w:val="en-US" w:eastAsia="en-US"/>
        </w:rPr>
        <w:t xml:space="preserve">8:00 </w:t>
      </w:r>
      <w:r>
        <w:rPr>
          <w:rStyle w:val="CharStyle10"/>
        </w:rPr>
        <w:t xml:space="preserve">до </w:t>
      </w:r>
      <w:r>
        <w:rPr>
          <w:rStyle w:val="CharStyle10"/>
          <w:lang w:val="en-US" w:eastAsia="en-US"/>
        </w:rPr>
        <w:t xml:space="preserve">20:00 </w:t>
      </w:r>
      <w:r>
        <w:rPr>
          <w:rStyle w:val="CharStyle10"/>
        </w:rPr>
        <w:t xml:space="preserve">(в период формирования регламентированной отчетности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по отдельному, заранее согласованному графику) через функционирующий у Заказчика центр обработки обращений пользователей, размещенный на территории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Прием обращений пользователей осуществляется следующими способами: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посредством «Горячей линии»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по внутреннему номеру диспетчера службы технической поддержки Заказчика;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08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по электронной почте;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через веб-портал во внутренней Интранет-сети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Исполнитель за счет своих сил и средств осуществляет обучение персонала работе с эксплуатируемой у Заказчика, системой для приема, обработки и учета обращений: информационной системе обработки обращений пользователей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ИСООП).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0"/>
        </w:rPr>
        <w:t xml:space="preserve">После получения обращения одним из вышеперечисленных способов ответственный специалист Исполнителя должен инициировать процесс обработки обращений, контролировать ее выполнение и в установленные сроки оповещать о </w:t>
      </w:r>
      <w:r>
        <w:rPr>
          <w:rStyle w:val="CharStyle10"/>
          <w:sz w:val="24"/>
          <w:szCs w:val="24"/>
          <w:lang w:val="en-US" w:eastAsia="en-US"/>
        </w:rPr>
        <w:t>2026-22492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0"/>
        </w:rPr>
        <w:t>ходе выполнения через ИСООП.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Центр обработки обращений пользователей Исполнителя должен использовать ИСООП и удовлетворять следующим требованиям: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обеспечивать полный учет обращений в ИСООП;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обеспечивать обработку и распределение всего потока обращений от заявителей в режиме реального времени;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организовывать работу специалистов собственных центров и групп компетенций, а также сторонних Исполнителей в интересах своевременного выполнения обращений, в соответствие с категорией критичности (срочности);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регулярно предоставлять ответственным представителям Заказчика и эксплуатирующих организаций следующие виды отчетов»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представитель Заказчика пояснил, что лот сформирован с учетом потребности Заказчика, обусловленной закупкой услуг по обслуживанию систем Заказчика и закупкой программного обеспечения, необходимой для обеспечения работы такой системы.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Так, подсистема «Бухгалтерский учет» ИС ФХД Заказчика реализована с применением программного продукта «1С:Бухгалтерия государственного учреждения», при этом программное обеспечение «Инвентаризация-Штрихкод» является подсистемой, отвечающей за электронное проведение инвентаризации основных средств, посредством специализированных обработок связанной с продуктом «1С:Бухгалтерия государственного учреждения», используемого для ведения бухгалтерского учета.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Также представитель Заказчика указал, что у Заказчика уже имеется программный продукт, и в ходе оказания услуг требуется его продление.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Помимо этого представитель Заказчика пояснил, что информационная система обработки обращений пользователей, имеющаяся у Заказчика не подлежит обслуживанию в рамках контракта, в связи с чем данном о системе не публиковались в извещении.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на заседание Комиссии Управления представителем Заявителя,а также в составе жалобы Заявителем, не представлено документов и сведений, однозначно свидетельствующих и подтверждающих нарушение положений Закона о контрактной системе при включении спорных объектов закупки в один лот.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3" w:right="534" w:bottom="559" w:left="1103" w:header="0" w:footer="131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Также Комиссия Управления отмечает, что в составе жалобы не представлено документов и сведений, подтверждающих, что отсутствие сведений об информационной системе обработки обращений пользователей в описании объекта закупки ограничивает количество участников закупки и не позволяет сформировать </w:t>
      </w:r>
      <w:r>
        <w:rPr>
          <w:rStyle w:val="CharStyle10"/>
          <w:sz w:val="24"/>
          <w:szCs w:val="24"/>
          <w:lang w:val="en-US" w:eastAsia="en-US"/>
        </w:rPr>
        <w:t>2026-22492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0"/>
        </w:rPr>
        <w:t>заявку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Иного на заседании Комиссии Управления не выявлено.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Комиссией Управления установлено, что в составе жалобы Заявитель указывает на то, что начальная (максимальная) цена контракта сформирована Заказчиком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ч.3 ст.99 Закона о контрактной системе ФАС России осуществляет контроль в сфере закупок, за исключением контроля, предусмотренного ч.5,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>ст.99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П.3 ч.8 ст.99 Закона о контрактной системе установлено, что контроль за соблюдением требований к определению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услуги, осуществляют органы внутреннего государственного (муниципального) финансового контроля.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ч.9 ст.99 Закона о контрактной системе контроль в сфере закупок в соответствии с ч.8 ст.99 Закона о контрактной системе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Законом о контрактной системе, Бюджетным кодексом Российской Федерации и принимаемыми в соответствии с ними нормативными правовыми актами Российской Федерации: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федеральным органом исполнительной власти, осуществляющим функции по контролю и надзору в финансово-бюджетной сфере, в отношении закупок для обеспечения федеральных нужд, а также закупок для обеспечения нужд субъектов Российской Федерации, муниципальных нужд, финансовое обеспечение которых частично или полностью осуществляется за счет субсидий, субвенций, иных межбюджетных трансфертов, имеющих целевое назначение, из федерального бюджета;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органом государственного финансового контроля, являющимся исполнительным органом субъекта Российской Федерации (должностным лицом), в отношении закупок для обеспечения нужд субъекта Российской Федерации;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органом муниципального финансового контроля, являющимся органом (должностными лицами) местной администрации, в отношении закупок для обеспечения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рассмотрение жалоб участников закупок на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предмет правомерности обоснования и расчета начальной (максимальной) цены контракта не относится к компетенции Московского УФАС России, в связи с чем не подлежат рассмотрению.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  <w:b/>
          <w:bCs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7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Признать жалобу ООО «Прософтинжениринг» на действия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ФГБУ «НМИЦ ДГОИ им. Дмитрия Рогачева» Минздрава России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Жалобу в части доводов о неправомерности формирования и обоснования начальной (максимальной) цены контракта оставить без рассмотрения на основании положений ст.99 Закона о контрактной системы.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rStyle w:val="CharStyle10"/>
        </w:rPr>
        <w:t>Снять ограничения, наложенные на определение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130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40995" distL="0" distR="0" simplePos="0" relativeHeight="125829379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139700</wp:posOffset>
                </wp:positionV>
                <wp:extent cx="188087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899999999999999pt;margin-top:11.pt;width:148.09999999999999pt;height:19.699999999999999pt;z-index:-125829374;mso-wrap-distance-left:0;mso-wrap-distance-top:1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6255" simplePos="0" relativeHeight="125829381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176530</wp:posOffset>
            </wp:positionV>
            <wp:extent cx="389890" cy="55499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615315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65000000000003pt;margin-top:48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298450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25pt;margin-top:23.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40995" distL="0" distR="0" simplePos="0" relativeHeight="125829382" behindDoc="0" locked="0" layoutInCell="1" allowOverlap="1">
                <wp:simplePos x="0" y="0"/>
                <wp:positionH relativeFrom="page">
                  <wp:posOffset>5904865</wp:posOffset>
                </wp:positionH>
                <wp:positionV relativeFrom="paragraph">
                  <wp:posOffset>139700</wp:posOffset>
                </wp:positionV>
                <wp:extent cx="1307465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4.94999999999999pt;margin-top:11.pt;width:102.95pt;height:19.699999999999999pt;z-index:-125829371;mso-wrap-distance-left:0;mso-wrap-distance-top:1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44999999999999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2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3133725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44999999999999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Хлебникова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ХЛЕБНИКОВА АНАСТАСИЯ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00BDC586F2C22E8641</w:t>
      </w:r>
      <w:r>
        <w:rPr>
          <w:rStyle w:val="CharStyle20"/>
        </w:rPr>
        <w:t>81858031</w:t>
      </w:r>
      <w:r>
        <w:rPr>
          <w:rStyle w:val="CharStyle20"/>
          <w:lang w:val="en-US" w:eastAsia="en-US"/>
        </w:rPr>
        <w:t>D</w:t>
      </w:r>
      <w:r>
        <w:rPr>
          <w:rStyle w:val="CharStyle20"/>
        </w:rPr>
        <w:t>1</w:t>
      </w:r>
      <w:r>
        <w:rPr>
          <w:rStyle w:val="CharStyle20"/>
          <w:color w:val="292929"/>
        </w:rPr>
        <w:t>6А11</w:t>
      </w:r>
      <w:r>
        <w:rPr>
          <w:rStyle w:val="CharStyle20"/>
        </w:rPr>
        <w:t>13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right="0" w:firstLine="0"/>
        <w:jc w:val="left"/>
      </w:pPr>
      <w:r>
        <w:rPr>
          <w:rStyle w:val="CharStyle20"/>
        </w:rPr>
        <w:t>Действителен с 31.1</w:t>
      </w:r>
      <w:r>
        <w:rPr>
          <w:rStyle w:val="CharStyle20"/>
          <w:color w:val="5E5E5E"/>
        </w:rPr>
        <w:t xml:space="preserve">0.2025 по </w:t>
      </w:r>
      <w:r>
        <w:rPr>
          <w:rStyle w:val="CharStyle20"/>
          <w:color w:val="292929"/>
        </w:rPr>
        <w:t>24.01</w:t>
      </w:r>
      <w:r>
        <w:rPr>
          <w:rStyle w:val="CharStyle20"/>
        </w:rPr>
        <w:t>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10129520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2026-22492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00000000000003pt;margin-top:797.60000000000002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2026-22492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2026-22492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6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2026-22492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10129520</wp:posOffset>
              </wp:positionV>
              <wp:extent cx="72517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2026-22492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700000000000003pt;margin-top:797.60000000000002pt;width:57.10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2026-22492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473075</wp:posOffset>
              </wp:positionV>
              <wp:extent cx="6731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37.25pt;width:5.2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240665</wp:posOffset>
              </wp:positionV>
              <wp:extent cx="7620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10000000000002pt;margin-top:18.949999999999999pt;width:6.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473075</wp:posOffset>
              </wp:positionV>
              <wp:extent cx="67310" cy="1066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94999999999999pt;margin-top:37.25pt;width:5.2999999999999998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line="252" w:lineRule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