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24510" cy="5670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9" w:right="546" w:bottom="93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7.05.2026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ИБ/9350/26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 №  от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3"/>
          <w:lang w:val="ru-RU" w:eastAsia="ru-RU"/>
        </w:rPr>
        <w:t xml:space="preserve">ЭТП "Газпромбанк"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</w:rPr>
        <w:t>info@etpgpb.ru</w:t>
      </w:r>
      <w:r>
        <w:fldChar w:fldCharType="end"/>
      </w:r>
      <w:r>
        <w:rPr>
          <w:rStyle w:val="CharStyle13"/>
        </w:rPr>
        <w:t xml:space="preserve">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</w:rPr>
        <w:t>info@etpgpb.ru</w:t>
      </w:r>
      <w:bookmarkEnd w:id="2"/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rStyle w:val="CharStyle13"/>
          <w:lang w:val="ru-RU" w:eastAsia="ru-RU"/>
        </w:rPr>
        <w:t xml:space="preserve">ГБОУ ДО «СШОР по Бадминтону» </w:t>
      </w:r>
      <w:r>
        <w:fldChar w:fldCharType="begin"/>
      </w:r>
      <w:r>
        <w:rPr/>
        <w:instrText> HYPERLINK "mailto:shkola_badm@mail.ru" </w:instrText>
      </w:r>
      <w:r>
        <w:fldChar w:fldCharType="separate"/>
      </w:r>
      <w:r>
        <w:rPr>
          <w:rStyle w:val="CharStyle13"/>
        </w:rPr>
        <w:t>shkola_badm@mail.ru</w:t>
      </w:r>
      <w:bookmarkEnd w:id="4"/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1218" w:bottom="2239" w:left="1135" w:header="0" w:footer="3" w:gutter="0"/>
          <w:cols w:num="2" w:space="1003"/>
          <w:noEndnote/>
          <w:rtlGutter w:val="0"/>
          <w:docGrid w:linePitch="360"/>
        </w:sectPr>
      </w:pPr>
      <w:bookmarkStart w:id="6" w:name="bookmark6"/>
      <w:r>
        <w:rPr>
          <w:rStyle w:val="CharStyle13"/>
          <w:lang w:val="ru-RU" w:eastAsia="ru-RU"/>
        </w:rPr>
        <w:t xml:space="preserve">ООО "ГЛАВСНАБ" </w:t>
      </w:r>
      <w:r>
        <w:fldChar w:fldCharType="begin"/>
      </w:r>
      <w:r>
        <w:rPr/>
        <w:instrText> HYPERLINK "mailto:glavsnab06@mail.ru" </w:instrText>
      </w:r>
      <w:r>
        <w:fldChar w:fldCharType="separate"/>
      </w:r>
      <w:r>
        <w:rPr>
          <w:rStyle w:val="CharStyle13"/>
        </w:rPr>
        <w:t>glavsnab06@mail.ru</w:t>
      </w:r>
      <w:bookmarkEnd w:id="6"/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86" w:right="0" w:bottom="15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5"/>
          <w:b/>
          <w:bCs/>
        </w:rPr>
        <w:t>РЕШЕНИЕ</w:t>
        <w:br/>
        <w:t>№ 052/06/105-1089/2026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09345" cy="2165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04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87.350000000000009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04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город Нижний Новгород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5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70305" cy="56705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Железова Е.С.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1.pt;width:92.150000000000006pt;height:44.6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Баранова И.В.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Железова Е.С.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-председателя комиссии, заместителя руководителя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both"/>
      </w:pPr>
      <w:r>
        <w:rPr>
          <w:rStyle w:val="CharStyle15"/>
        </w:rPr>
        <w:t>-члена комиссии, специалиста-эксперта отдела контроля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both"/>
      </w:pPr>
      <w:r>
        <w:rPr>
          <w:rStyle w:val="CharStyle15"/>
        </w:rPr>
        <w:t>-члена комиссии, специалиста-эксперта отдела контроля государственных 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260"/>
        <w:jc w:val="both"/>
      </w:pPr>
      <w:r>
        <w:rPr>
          <w:rStyle w:val="CharStyle15"/>
        </w:rPr>
        <w:t>муниципальных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393700</wp:posOffset>
                </wp:positionV>
                <wp:extent cx="1063625" cy="21971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- Елагиной А.И.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5.800000000000004pt;margin-top:31.pt;width:83.75pt;height:17.3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- Елагиной А.И.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При участии видео-конференц-связи: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540" w:right="0" w:firstLine="0"/>
        <w:jc w:val="both"/>
      </w:pPr>
      <w:r>
        <w:rPr>
          <w:rStyle w:val="CharStyle15"/>
        </w:rPr>
        <w:t>- представителя ГБОУ ДО «СШОР по Бадминтону» по доверенности №б/н от 04.05.2026,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15"/>
        </w:rPr>
        <w:t>рассмотрев посредством видео-конференц-связи жалобу Общества с ограниченной ответственностью «ГЛАВСНАБ» (далее также – заявитель, общество) о нарушении Государственным бюджетным образовательным учреждением дополнительного образования «Спортивная школа олимпийского резерва по бадминтону» (далее также – Заказчик, ГБОУ ДО «СШОР по Бадминтону») требований законодательства Российской Федерации о контрактной системе в сфере закупок при определении поставщика, осуществляемом в соответствии с частью 12 статьи 93 Федерального закона от 05.04.2013 №44-ФЗ «О контрактной системе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товаров, работ, услуг для обеспечения государственных и муниципальных нужд», на право заключения контракта по объекту закупки: «Волан для бадминтона», номер извещения </w:t>
      </w:r>
      <w:r>
        <w:rPr>
          <w:rStyle w:val="CharStyle15"/>
          <w:lang w:val="en-US" w:eastAsia="en-US"/>
        </w:rPr>
        <w:t>0332200039426000003,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заказчиков при определении поставщика, осуществляемом в соответствии с частью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системе, на право заключения контракта по объекту закупки: «Волан для бадминтона», номер извещения </w:t>
      </w:r>
      <w:r>
        <w:rPr>
          <w:rStyle w:val="CharStyle15"/>
          <w:lang w:val="en-US" w:eastAsia="en-US"/>
        </w:rPr>
        <w:t>0332200039426000003.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 о контрактной системе).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Представитель заказчика на заседании Комиссии Нижегородского УФАС России с доводами, изложенными в жалобе заявителя, не согласился, факт нарушений требований Закона о контрактной системе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системе, пришла к следующим выводам.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24.04.2026 </w:t>
      </w:r>
      <w:r>
        <w:rPr>
          <w:rStyle w:val="CharStyle15"/>
        </w:rPr>
        <w:t xml:space="preserve">в единой информационной системе и на сайте электронной площадки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«Фабрикант»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размещено извещение проведении закупки, осуществляемой в соответствии с частью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1 035 000,00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Заявитель обжалует действия комиссии по осуществлению закупок. Заявителем в жалобе указано что, согласно 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статьи.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Федерального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контракт заключается с участником, предложившим наименьшую цену при соответствии требованиям. В данном случае заявка ООО «ГЛАВСНАБ» соответствует требованиям и содержит наименьшую цену.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Проанализировав полученные документы и сведения, Комиссия Нижегородского УФАС России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Согласно подпункту «а»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при присвоении в соответствии с подпунктом «б» пункта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настоящего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>настоящей части с использованием электронной площадки: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2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присваивает каждой заявке на участие в закупке, предусмотренной подпунктом "а"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настоящего пункта, идентификационный номер, порядковый номер в порядке возрастания цены за единицу товара, предусмотренной подпунктом "е"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настоящей части. Первый порядковый номер присваивается заявке на участие в закупке, содержащей наименьшую цену за единицу товара. В случае, если несколько заявок на участие в закупке содержат одинаковую цену за единицу товара, меньший порядковый номер присваивается заявке на участие в закупке, поданной участником закупки, разместившим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части предварительное предложение в отношении такого товара ранее других участников закупки. В случае, если в соответствии с подпунктом "а" настоящего пункта определена одна заявка на участие в закупке, такой заявке присваивается первый порядковый номер;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направляет заказчику заявки на участие в закупке (с указанием присвоенных в соответствии с подпунктом "б" настоящего пункта порядковых номеров), предусмотренные подпунктом "а" настоящего пункта и содержащие информацию и документы, предусмотренные подпунктами "а"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"е" и "к"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настоящей части,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Закона о контрактной системе не позднее одного рабочего дня со дня, следующего за днем получения информации и документов, предусмотренных подпунктом "в" пункта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>настоящей части, заказчик: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принимает в отношении каждой заявки решение 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непредставления информации и документов, предусмотренных подпунктом "в" пункта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части, несоответствия таких информации и документов требованиям, установленным в извещении об осуществлении закупки, либо в случаях, предусмотренных пунктами </w:t>
      </w:r>
      <w:r>
        <w:rPr>
          <w:rStyle w:val="CharStyle15"/>
          <w:lang w:val="en-US" w:eastAsia="en-US"/>
        </w:rPr>
        <w:t xml:space="preserve">3 - 6, 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на основании решений, предусмотренных подпунктом "а" настоящего пункта, присваивает каждой заявке на участие в закупке, которая не отклонена, порядковый номер в порядке возрастания цены за единицу товара, предусмотренной подпунктом "е"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настоящей части, с учетом положений нормативных правовых актов, принятых в соответствии со статьей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закона. Первый порядковый номер присваивается заявке на участие в закупке, содержащей наименьшую цену за единицу товара, или являющейся единственной заявкой, которая не отклонена в соответствии с подпунктом "а" настоящего пункта;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формирует с использованием электронной площадки протокол подведения итогов определения поставщика, подписывает его усиленной электронной подписью лица, имеющего право действовать от имени заказчика, и направляет оператору электронной площадки, который в течение одного часа с момента получения такого протокола размещает его в единой информационной системе и на электронной площадке, а также размещает в единой информационной системе (без размещения на официальном сайте) информацию, указанную в подпунктах "а" и "е"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закона, идентификационные номера заявок и номера реестровых записей участников закупки, заявки которых направлены заказчику в соответствии с подпунктом "в" пункта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>настоящей части. Такой протокол должен содержать дату подведения итогов, идентификационные номера заявок и информацию о решениях, предусмотренных подпунктом "а" настоящего пункта, обоснование решения об отклонении заявки на участие в закупке (в случае принятия такого решения), содержащее указание на положения заявки на участие в закупке, а также положения настоящего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Федерального закона, извещения об осуществлении закупки, которым не соответствует такая заявка, а также информацию, предусмотренную подпунктом "б" настоящего пункта;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Согласно пунктам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при осуществлении закупки товара: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если Правительством Российской Федерации установлен предусмотренный 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настоящей статьи запрет закупок товара: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3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настоящим Федеральным законом;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заключение контракта на поставку такого товара, происходящего из иностранного государства, с единственным поставщиком не допускается;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при исполнении контракта замена такого товара на происходящий из иностранного государства товар, в отношении которого установлен данный запрет, не допускается,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если Правительством Российской Федерации установлено предусмотренное подпунктом «б»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настоящей статьи ограничение закупок товара: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целях реализации данных норм Правительством Российской Федерации принято Постановление </w:t>
      </w:r>
      <w:r>
        <w:rPr>
          <w:rStyle w:val="CharStyle15"/>
          <w:lang w:val="en-US" w:eastAsia="en-US"/>
        </w:rPr>
        <w:t>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Согласно Извещению объектом закупки является «Волан для бадминтона», заказчиком применен код ОКПД2 </w:t>
      </w:r>
      <w:r>
        <w:rPr>
          <w:rStyle w:val="CharStyle15"/>
          <w:lang w:val="en-US" w:eastAsia="en-US"/>
        </w:rPr>
        <w:t xml:space="preserve">32.30.15.114 </w:t>
      </w:r>
      <w:r>
        <w:rPr>
          <w:rStyle w:val="CharStyle15"/>
        </w:rPr>
        <w:t xml:space="preserve">«Инвентарь для тенниса и бадминтона» и КТРУ </w:t>
      </w:r>
      <w:r>
        <w:rPr>
          <w:rStyle w:val="CharStyle15"/>
          <w:lang w:val="en-US" w:eastAsia="en-US"/>
        </w:rPr>
        <w:t>32.30.15.114</w:t>
        <w:softHyphen/>
        <w:t xml:space="preserve">00000014 </w:t>
      </w:r>
      <w:r>
        <w:rPr>
          <w:rStyle w:val="CharStyle15"/>
        </w:rPr>
        <w:t>«Волан для бадминтона».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Товар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«Волан для бадминтона» с кодом ОКПД2 </w:t>
      </w:r>
      <w:r>
        <w:rPr>
          <w:rStyle w:val="CharStyle15"/>
          <w:lang w:val="en-US" w:eastAsia="en-US"/>
        </w:rPr>
        <w:t xml:space="preserve">32.30.15.114 </w:t>
      </w:r>
      <w:r>
        <w:rPr>
          <w:rStyle w:val="CharStyle15"/>
        </w:rPr>
        <w:t xml:space="preserve">отсутствует в Приложениях </w:t>
      </w:r>
      <w:r>
        <w:rPr>
          <w:rStyle w:val="CharStyle15"/>
          <w:lang w:val="en-US" w:eastAsia="en-US"/>
        </w:rPr>
        <w:t xml:space="preserve">№1, №2 </w:t>
      </w:r>
      <w:r>
        <w:rPr>
          <w:rStyle w:val="CharStyle15"/>
        </w:rPr>
        <w:t xml:space="preserve">к Постановлению </w:t>
      </w:r>
      <w:r>
        <w:rPr>
          <w:rStyle w:val="CharStyle15"/>
          <w:lang w:val="en-US" w:eastAsia="en-US"/>
        </w:rPr>
        <w:t>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структурированной форме Извещения, Заказчиком в рамках закупки установлено предоставление национального режима при осуществлении закупок, а именно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преимущество в отношении товаров российского происхождения, выполняемых работ, оказываемых услуг российскими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Комиссией Нижегородского УФАС России установлено, что оператором торговой площадки в соответствии с подпунктом «б» пункта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 присвоены следующие идентификационные номера: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№10, </w:t>
      </w:r>
      <w:r>
        <w:rPr>
          <w:rStyle w:val="CharStyle15"/>
        </w:rPr>
        <w:t xml:space="preserve">предложение </w:t>
      </w:r>
      <w:r>
        <w:rPr>
          <w:rStyle w:val="CharStyle15"/>
          <w:lang w:val="en-US" w:eastAsia="en-US"/>
        </w:rPr>
        <w:t xml:space="preserve">1 020 000 </w:t>
      </w:r>
      <w:r>
        <w:rPr>
          <w:rStyle w:val="CharStyle15"/>
        </w:rPr>
        <w:t xml:space="preserve">руб.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заявка заявителя жалобы;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№11, </w:t>
      </w:r>
      <w:r>
        <w:rPr>
          <w:rStyle w:val="CharStyle15"/>
        </w:rPr>
        <w:t xml:space="preserve">предложение </w:t>
      </w:r>
      <w:r>
        <w:rPr>
          <w:rStyle w:val="CharStyle15"/>
          <w:lang w:val="en-US" w:eastAsia="en-US"/>
        </w:rPr>
        <w:t xml:space="preserve">1 035 000 </w:t>
      </w:r>
      <w:r>
        <w:rPr>
          <w:rStyle w:val="CharStyle15"/>
        </w:rPr>
        <w:t xml:space="preserve">руб.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заявка победителя.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Заказчиком в соответствии с подпунктом «б» пункта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Закона о контрактной системе присвоены следующие порядковые номера: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заявка </w:t>
      </w:r>
      <w:r>
        <w:rPr>
          <w:rStyle w:val="CharStyle15"/>
          <w:lang w:val="en-US" w:eastAsia="en-US"/>
        </w:rPr>
        <w:t xml:space="preserve">№11 – </w:t>
      </w:r>
      <w:r>
        <w:rPr>
          <w:rStyle w:val="CharStyle15"/>
        </w:rPr>
        <w:t xml:space="preserve">порядковый номер </w:t>
      </w:r>
      <w:r>
        <w:rPr>
          <w:rStyle w:val="CharStyle15"/>
          <w:lang w:val="en-US" w:eastAsia="en-US"/>
        </w:rPr>
        <w:t>№1;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39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заявка </w:t>
      </w:r>
      <w:r>
        <w:rPr>
          <w:rStyle w:val="CharStyle15"/>
          <w:lang w:val="en-US" w:eastAsia="en-US"/>
        </w:rPr>
        <w:t xml:space="preserve">№10 – </w:t>
      </w:r>
      <w:r>
        <w:rPr>
          <w:rStyle w:val="CharStyle15"/>
        </w:rPr>
        <w:t xml:space="preserve">порядковый номер </w:t>
      </w:r>
      <w:r>
        <w:rPr>
          <w:rStyle w:val="CharStyle15"/>
          <w:lang w:val="en-US" w:eastAsia="en-US"/>
        </w:rPr>
        <w:t>№2.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27.04.2026 </w:t>
      </w:r>
      <w:r>
        <w:rPr>
          <w:rStyle w:val="CharStyle15"/>
        </w:rPr>
        <w:t>№ИЗТ1 все заявки признаны соответствующими положениям извещения.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2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аявка </w:t>
      </w:r>
      <w:r>
        <w:rPr>
          <w:rStyle w:val="CharStyle15"/>
          <w:lang w:val="en-US" w:eastAsia="en-US"/>
        </w:rPr>
        <w:t xml:space="preserve">№10, </w:t>
      </w:r>
      <w:r>
        <w:rPr>
          <w:rStyle w:val="CharStyle15"/>
        </w:rPr>
        <w:t>содержит предложение о поставке товара иностранного происхождения.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2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аявка </w:t>
      </w:r>
      <w:r>
        <w:rPr>
          <w:rStyle w:val="CharStyle15"/>
          <w:lang w:val="en-US" w:eastAsia="en-US"/>
        </w:rPr>
        <w:t xml:space="preserve">№11, </w:t>
      </w:r>
      <w:r>
        <w:rPr>
          <w:rStyle w:val="CharStyle15"/>
        </w:rPr>
        <w:t xml:space="preserve">признанная победителем, содержит предложение о поставке товара российского происхождения, в связи с чем к ней применено преимущество в размере </w:t>
      </w:r>
      <w:r>
        <w:rPr>
          <w:rStyle w:val="CharStyle15"/>
          <w:lang w:val="en-US" w:eastAsia="en-US"/>
        </w:rPr>
        <w:t>15%.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Таким образом, довод заявителя жалобы признается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Довод заявителя о нарушении Заказчиком Федерального закона от </w:t>
      </w:r>
      <w:r>
        <w:rPr>
          <w:rStyle w:val="CharStyle15"/>
          <w:lang w:val="en-US" w:eastAsia="en-US"/>
        </w:rPr>
        <w:t xml:space="preserve">26.07.2006 </w:t>
      </w:r>
      <w:r>
        <w:rPr>
          <w:rStyle w:val="CharStyle15"/>
        </w:rPr>
        <w:t xml:space="preserve">№135-ФЗ «О защите конкуренции» не подлежит рассмотрению, так как в силу статей </w:t>
      </w:r>
      <w:r>
        <w:rPr>
          <w:rStyle w:val="CharStyle15"/>
          <w:lang w:val="en-US" w:eastAsia="en-US"/>
        </w:rPr>
        <w:t xml:space="preserve">99, 105 </w:t>
      </w:r>
      <w:r>
        <w:rPr>
          <w:rStyle w:val="CharStyle15"/>
        </w:rPr>
        <w:t>Закона о контрактной системе предметом рассмотрения органом контроля жалобы (обращения) на действия (бездействие) субъектов контроля является выявление фактов наличия/отсутствия нарушений законодательства Российской Федерации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свою очередь Комиссия Нижегородского УФАС России разъясняет, что если Заявитель считает, что в действиях Заказчика содержатся признаки нарушения антимонопольного законодательства, Заявитель вправе подать соответствующее заявление в ФАС России или в соответствующий территориальный орган ФАС России, с учетом требований частей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44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26.07.2006 № </w:t>
      </w:r>
      <w:r>
        <w:rPr>
          <w:rStyle w:val="CharStyle15"/>
        </w:rPr>
        <w:t xml:space="preserve">135-ФЗ «О защите конкуренции», а также приказа ФАС России от </w:t>
      </w:r>
      <w:r>
        <w:rPr>
          <w:rStyle w:val="CharStyle15"/>
          <w:lang w:val="en-US" w:eastAsia="en-US"/>
        </w:rPr>
        <w:t xml:space="preserve">25.05.2012 № 339 </w:t>
      </w:r>
      <w:r>
        <w:rPr>
          <w:rStyle w:val="CharStyle15"/>
        </w:rPr>
        <w:t>«Об утверждении административного регламента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Заявитель жалобы не представил документы и сведения, позволяющие Комиссии прийти к выводу о нарушении прав и законных интересов Заявителя.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С учетом изложенного, Комиссия приходит к выводу, что действия комиссии по осуществлению закупок в части определения победителя Закупки не противоречат требованиям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На основании вышеизложенного, жалоба ООО «ГЛАВСНАБ» признается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5"/>
        </w:rPr>
        <w:t xml:space="preserve">С учетом изложенного, руководствуясь 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5"/>
        </w:rPr>
        <w:t xml:space="preserve">Признать жалобу Общества с ограниченной ответственностью «ГЛАВСНАБ» о нарушении Государственным бюджетным образовательным учреждением дополнительного образования «Спортивная школа олимпийского резерва по бадминтону» требований законодательства Российской Федерации о контрактной системе в сфере закупок при определении поставщика, осуществляемом в соответствии с частью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на право заключения контракта по объекту закупки: «Волан для бадминтона», номер извещения </w:t>
      </w:r>
      <w:r>
        <w:rPr>
          <w:rStyle w:val="CharStyle15"/>
          <w:lang w:val="en-US" w:eastAsia="en-US"/>
        </w:rPr>
        <w:t xml:space="preserve">0332200039426000003, </w:t>
      </w:r>
      <w:r>
        <w:rPr>
          <w:rStyle w:val="CharStyle15"/>
        </w:rPr>
        <w:t>необоснованной.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86" w:right="536" w:bottom="1580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9100" distB="20701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419100</wp:posOffset>
                </wp:positionV>
                <wp:extent cx="169481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5"/>
                                <w:sz w:val="26"/>
                                <w:szCs w:val="2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33.pt;width:133.44999999999999pt;height:18.5pt;z-index:-125829369;mso-wrap-distance-left:0;mso-wrap-distance-top:33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5"/>
                          <w:sz w:val="26"/>
                          <w:szCs w:val="2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6890" distB="0" distL="0" distR="1816735" simplePos="0" relativeHeight="125829386" behindDoc="0" locked="0" layoutInCell="1" allowOverlap="1">
            <wp:simplePos x="0" y="0"/>
            <wp:positionH relativeFrom="page">
              <wp:posOffset>3256915</wp:posOffset>
            </wp:positionH>
            <wp:positionV relativeFrom="paragraph">
              <wp:posOffset>516890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577850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7.15000000000003pt;margin-top:45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207010" distL="0" distR="0" simplePos="0" relativeHeight="125829387" behindDoc="0" locked="0" layoutInCell="1" allowOverlap="1">
                <wp:simplePos x="0" y="0"/>
                <wp:positionH relativeFrom="page">
                  <wp:posOffset>6259195</wp:posOffset>
                </wp:positionH>
                <wp:positionV relativeFrom="paragraph">
                  <wp:posOffset>419100</wp:posOffset>
                </wp:positionV>
                <wp:extent cx="95377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5"/>
                                <w:sz w:val="26"/>
                                <w:szCs w:val="26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2.85000000000002pt;margin-top:33.pt;width:75.100000000000009pt;height:18.5pt;z-index:-125829366;mso-wrap-distance-left:0;mso-wrap-distance-top:33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5"/>
                          <w:sz w:val="26"/>
                          <w:szCs w:val="26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Баранов Илья Валерьевич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0D493BB3DAA620D04EE744081508209F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Действителен с 24.09.2025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1" w:right="532" w:bottom="727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359410" distL="0" distR="0" simplePos="0" relativeHeight="125829389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203200</wp:posOffset>
                </wp:positionV>
                <wp:extent cx="1249680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5"/>
                                <w:sz w:val="26"/>
                                <w:szCs w:val="2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700000000000003pt;margin-top:16.pt;width:98.400000000000006pt;height:18.5pt;z-index:-125829364;mso-wrap-distance-left:0;mso-wrap-distance-top:1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5"/>
                          <w:sz w:val="26"/>
                          <w:szCs w:val="26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6225" distB="0" distL="0" distR="1786255" simplePos="0" relativeHeight="125829391" behindDoc="0" locked="0" layoutInCell="1" allowOverlap="1">
            <wp:simplePos x="0" y="0"/>
            <wp:positionH relativeFrom="page">
              <wp:posOffset>3225800</wp:posOffset>
            </wp:positionH>
            <wp:positionV relativeFrom="paragraph">
              <wp:posOffset>276225</wp:posOffset>
            </wp:positionV>
            <wp:extent cx="359410" cy="52451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3689350</wp:posOffset>
                </wp:positionH>
                <wp:positionV relativeFrom="paragraph">
                  <wp:posOffset>681355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90.5pt;margin-top:53.64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3646170</wp:posOffset>
                </wp:positionH>
                <wp:positionV relativeFrom="paragraph">
                  <wp:posOffset>364490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7.10000000000002pt;margin-top:28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359410" distL="0" distR="0" simplePos="0" relativeHeight="125829392" behindDoc="0" locked="0" layoutInCell="1" allowOverlap="1">
                <wp:simplePos x="0" y="0"/>
                <wp:positionH relativeFrom="page">
                  <wp:posOffset>6256020</wp:posOffset>
                </wp:positionH>
                <wp:positionV relativeFrom="paragraph">
                  <wp:posOffset>203200</wp:posOffset>
                </wp:positionV>
                <wp:extent cx="956945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5"/>
                                <w:sz w:val="26"/>
                                <w:szCs w:val="26"/>
                              </w:rPr>
                              <w:t>Е.С. Железов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2.60000000000002pt;margin-top:16.pt;width:75.350000000000009pt;height:18.5pt;z-index:-125829361;mso-wrap-distance-left:0;mso-wrap-distance-top:1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5"/>
                          <w:sz w:val="26"/>
                          <w:szCs w:val="26"/>
                        </w:rPr>
                        <w:t>Е.С. Железов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Железов Евгений Сергеевич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00F3D8B84BF14FAF6C17D2409D2067ABC</w:t>
      </w:r>
      <w:r>
        <w:rPr>
          <w:rStyle w:val="CharStyle24"/>
          <w:lang w:val="en-US" w:eastAsia="en-US"/>
        </w:rPr>
        <w:t>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24"/>
        </w:rPr>
        <w:t xml:space="preserve">Действителен с 02.04.2026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26.06.2027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040" w:right="0" w:firstLine="0"/>
        <w:jc w:val="left"/>
        <w:rPr>
          <w:sz w:val="26"/>
          <w:szCs w:val="26"/>
        </w:rPr>
      </w:pPr>
      <w:r>
        <w:drawing>
          <wp:anchor distT="0" distB="0" distL="114300" distR="1900555" simplePos="0" relativeHeight="125829394" behindDoc="0" locked="0" layoutInCell="1" allowOverlap="1">
            <wp:simplePos x="0" y="0"/>
            <wp:positionH relativeFrom="page">
              <wp:posOffset>3192780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3686810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90.30000000000001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7.15000000000003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  <w:sz w:val="26"/>
          <w:szCs w:val="26"/>
        </w:rPr>
        <w:t>Ю.К. Лебедева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Лебедева Юлия Константиновна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00C93FBB7A4557EA64748F1397E15ED90B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rStyle w:val="CharStyle24"/>
        </w:rPr>
        <w:t xml:space="preserve">Действителен с 04.09.2025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28.1</w:t>
      </w:r>
      <w:r>
        <w:rPr>
          <w:rStyle w:val="CharStyle24"/>
          <w:color w:val="292929"/>
        </w:rPr>
        <w:t>1</w:t>
      </w:r>
      <w:r>
        <w:rPr>
          <w:rStyle w:val="CharStyle24"/>
        </w:rPr>
        <w:t>.2026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1" w:right="532" w:bottom="167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778510</wp:posOffset>
              </wp:positionH>
              <wp:positionV relativeFrom="page">
                <wp:posOffset>10147935</wp:posOffset>
              </wp:positionV>
              <wp:extent cx="73152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2026-10977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300000000000004pt;margin-top:799.05000000000007pt;width:57.600000000000001pt;height:8.6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2026-10977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10034270</wp:posOffset>
              </wp:positionV>
              <wp:extent cx="73152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2026-10977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9.950000000000003pt;margin-top:790.10000000000002pt;width:57.600000000000001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2026-10977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708025</wp:posOffset>
              </wp:positionV>
              <wp:extent cx="7937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55.75pt;width:6.25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6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5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9">
    <w:name w:val="Body text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2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5)"/>
    <w:basedOn w:val="Normal"/>
    <w:link w:val="CharStyle22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8">
    <w:name w:val="Body text (4)"/>
    <w:basedOn w:val="Normal"/>
    <w:link w:val="CharStyle29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