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Ивановской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ул. Жарова, 10, Иваново, 153000</w:t>
        <w:br/>
        <w:t>тел. (4932) 32-85-73, факс (4932) 32-63-60</w:t>
        <w:br/>
      </w:r>
      <w:r>
        <w:rPr>
          <w:rStyle w:val="CharStyle6"/>
          <w:lang w:val="en-US" w:eastAsia="en-US"/>
        </w:rPr>
        <w:t xml:space="preserve">e-mail: </w:t>
      </w:r>
      <w:r>
        <w:fldChar w:fldCharType="begin"/>
      </w:r>
      <w:r>
        <w:rPr/>
        <w:instrText> HYPERLINK "mailto:to37@fas.gov.ni" </w:instrText>
      </w:r>
      <w:r>
        <w:fldChar w:fldCharType="separate"/>
      </w:r>
      <w:r>
        <w:rPr>
          <w:rStyle w:val="CharStyle6"/>
          <w:lang w:val="en-US" w:eastAsia="en-US"/>
        </w:rPr>
        <w:t>to37@fas.gov.ni</w:t>
      </w:r>
      <w:r>
        <w:fldChar w:fldCharType="end"/>
      </w:r>
    </w:p>
    <w:p>
      <w:pPr>
        <w:pStyle w:val="Style10"/>
        <w:keepNext/>
        <w:keepLines/>
        <w:widowControl w:val="0"/>
        <w:shd w:val="clear" w:color="auto" w:fill="auto"/>
        <w:tabs>
          <w:tab w:pos="1838" w:val="left"/>
        </w:tabs>
        <w:bidi w:val="0"/>
        <w:spacing w:before="0" w:after="0" w:line="240" w:lineRule="auto"/>
        <w:ind w:left="0" w:right="0" w:firstLine="0"/>
        <w:jc w:val="both"/>
      </w:pPr>
      <w:bookmarkStart w:id="0" w:name="bookmark0"/>
      <w:r>
        <w:rPr>
          <w:rStyle w:val="CharStyle11"/>
        </w:rPr>
        <w:t>0</w:t>
      </w:r>
      <w:r>
        <w:fldChar w:fldCharType="begin"/>
      </w:r>
      <w:r>
        <w:rPr/>
        <w:instrText> HYPERLINK "file://f207ca94-a13c-4ba0-b72d-f018c9eed8f1/" </w:instrText>
      </w:r>
      <w:r>
        <w:fldChar w:fldCharType="separate"/>
      </w:r>
      <w:r>
        <w:rPr>
          <w:rStyle w:val="CharStyle11"/>
        </w:rPr>
        <w:t>8.05.2026</w:t>
        <w:tab/>
      </w:r>
      <w:r>
        <w:fldChar w:fldCharType="end"/>
      </w:r>
      <w:r>
        <w:rPr>
          <w:rStyle w:val="CharStyle11"/>
        </w:rPr>
        <w:t>№ ТМ/1646/26</w:t>
      </w:r>
      <w:bookmarkEnd w:id="0"/>
    </w:p>
    <w:p>
      <w:pPr>
        <w:pStyle w:val="Style12"/>
        <w:keepNext/>
        <w:keepLines/>
        <w:widowControl w:val="0"/>
        <w:shd w:val="clear" w:color="auto" w:fill="auto"/>
        <w:bidi w:val="0"/>
        <w:spacing w:before="0" w:after="0" w:line="240" w:lineRule="auto"/>
        <w:ind w:left="0" w:right="0" w:firstLine="0"/>
        <w:jc w:val="left"/>
      </w:pPr>
      <w:bookmarkStart w:id="2" w:name="bookmark2"/>
      <w:r>
        <w:rPr>
          <w:rStyle w:val="CharStyle13"/>
          <w:b/>
          <w:bCs/>
        </w:rPr>
        <w:t>ООО "СПК"</w:t>
      </w:r>
      <w:bookmarkEnd w:id="2"/>
    </w:p>
    <w:p>
      <w:pPr>
        <w:pStyle w:val="Style14"/>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"mailto:spk037@mail.ru" </w:instrText>
      </w:r>
      <w:r>
        <w:fldChar w:fldCharType="separate"/>
      </w:r>
      <w:r>
        <w:rPr>
          <w:rStyle w:val="CharStyle15"/>
          <w:color w:val="000080"/>
          <w:sz w:val="28"/>
          <w:szCs w:val="28"/>
          <w:u w:val="single"/>
          <w:lang w:val="en-US" w:eastAsia="en-US"/>
        </w:rPr>
        <w:t>spk037@mail.ru</w:t>
      </w:r>
      <w:r>
        <w:fldChar w:fldCharType="end"/>
      </w:r>
    </w:p>
    <w:p>
      <w:pPr>
        <w:pStyle w:val="Style12"/>
        <w:keepNext/>
        <w:keepLines/>
        <w:widowControl w:val="0"/>
        <w:shd w:val="clear" w:color="auto" w:fill="auto"/>
        <w:bidi w:val="0"/>
        <w:spacing w:before="0" w:after="0" w:line="240" w:lineRule="auto"/>
        <w:ind w:left="0" w:right="0" w:firstLine="0"/>
        <w:jc w:val="left"/>
      </w:pPr>
      <w:bookmarkStart w:id="4" w:name="bookmark4"/>
      <w:r>
        <w:rPr>
          <w:rStyle w:val="CharStyle13"/>
          <w:b/>
          <w:bCs/>
        </w:rPr>
        <w:t>МБОУ Новогоряновская СОШ</w:t>
      </w:r>
      <w:bookmarkEnd w:id="4"/>
    </w:p>
    <w:p>
      <w:pPr>
        <w:pStyle w:val="Style14"/>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"mailto:shkola@goryanovo.ru" </w:instrText>
      </w:r>
      <w:r>
        <w:fldChar w:fldCharType="separate"/>
      </w:r>
      <w:r>
        <w:rPr>
          <w:rStyle w:val="CharStyle15"/>
          <w:color w:val="000080"/>
          <w:sz w:val="28"/>
          <w:szCs w:val="28"/>
          <w:u w:val="single"/>
          <w:lang w:val="en-US" w:eastAsia="en-US"/>
        </w:rPr>
        <w:t>shkola@goryanovo.ru</w:t>
      </w:r>
      <w:r>
        <w:fldChar w:fldCharType="end"/>
      </w:r>
    </w:p>
    <w:p>
      <w:pPr>
        <w:pStyle w:val="Style12"/>
        <w:keepNext/>
        <w:keepLines/>
        <w:widowControl w:val="0"/>
        <w:shd w:val="clear" w:color="auto" w:fill="auto"/>
        <w:bidi w:val="0"/>
        <w:spacing w:before="0" w:after="0" w:line="240" w:lineRule="auto"/>
        <w:ind w:left="0" w:right="0" w:firstLine="0"/>
        <w:jc w:val="left"/>
      </w:pPr>
      <w:bookmarkStart w:id="6" w:name="bookmark6"/>
      <w:r>
        <w:rPr>
          <w:rStyle w:val="CharStyle13"/>
          <w:b/>
          <w:bCs/>
        </w:rPr>
        <w:t>Департамент конкурсов и аукционов</w:t>
      </w:r>
      <w:bookmarkEnd w:id="6"/>
    </w:p>
    <w:p>
      <w:pPr>
        <w:pStyle w:val="Style12"/>
        <w:keepNext/>
        <w:keepLines/>
        <w:widowControl w:val="0"/>
        <w:shd w:val="clear" w:color="auto" w:fill="auto"/>
        <w:bidi w:val="0"/>
        <w:spacing w:before="0" w:after="0" w:line="240" w:lineRule="auto"/>
        <w:ind w:left="0" w:right="0" w:firstLine="0"/>
        <w:jc w:val="left"/>
      </w:pPr>
      <w:r>
        <w:rPr>
          <w:rStyle w:val="CharStyle13"/>
          <w:b/>
          <w:bCs/>
        </w:rPr>
        <w:t>Ивановской области</w:t>
      </w:r>
    </w:p>
    <w:p>
      <w:pPr>
        <w:pStyle w:val="Style14"/>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"mailto:dka@ivreg.ru" </w:instrText>
      </w:r>
      <w:r>
        <w:fldChar w:fldCharType="separate"/>
      </w:r>
      <w:r>
        <w:rPr>
          <w:rStyle w:val="CharStyle15"/>
          <w:color w:val="000080"/>
          <w:sz w:val="28"/>
          <w:szCs w:val="28"/>
          <w:u w:val="single"/>
          <w:lang w:val="en-US" w:eastAsia="en-US"/>
        </w:rPr>
        <w:t>dka@ivreg.ru</w:t>
      </w:r>
      <w:r>
        <w:fldChar w:fldCharType="end"/>
      </w:r>
    </w:p>
    <w:p>
      <w:pPr>
        <w:pStyle w:val="Style12"/>
        <w:keepNext/>
        <w:keepLines/>
        <w:widowControl w:val="0"/>
        <w:shd w:val="clear" w:color="auto" w:fill="auto"/>
        <w:bidi w:val="0"/>
        <w:spacing w:before="0" w:after="0" w:line="240" w:lineRule="auto"/>
        <w:ind w:left="0" w:right="0" w:firstLine="0"/>
        <w:jc w:val="left"/>
      </w:pPr>
      <w:bookmarkStart w:id="9" w:name="bookmark9"/>
      <w:r>
        <w:rPr>
          <w:rStyle w:val="CharStyle13"/>
          <w:b/>
          <w:bCs/>
        </w:rPr>
        <w:t>АО "ЕЭТП"</w:t>
      </w:r>
      <w:bookmarkEnd w:id="9"/>
    </w:p>
    <w:p>
      <w:pPr>
        <w:pStyle w:val="Style14"/>
        <w:keepNext w:val="0"/>
        <w:keepLines w:val="0"/>
        <w:widowControl w:val="0"/>
        <w:shd w:val="clear" w:color="auto" w:fill="auto"/>
        <w:bidi w:val="0"/>
        <w:spacing w:before="0" w:after="0" w:line="240" w:lineRule="auto"/>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79" w:right="757" w:bottom="1193" w:left="1241" w:header="0" w:footer="3" w:gutter="0"/>
          <w:pgNumType w:start="1"/>
          <w:cols w:num="2" w:space="720" w:equalWidth="0">
            <w:col w:w="4142" w:space="1018"/>
            <w:col w:w="4742"/>
          </w:cols>
          <w:noEndnote/>
          <w:titlePg/>
          <w:rtlGutter w:val="0"/>
          <w:docGrid w:linePitch="360"/>
        </w:sectPr>
      </w:pPr>
      <w:r>
        <w:fldChar w:fldCharType="begin"/>
      </w:r>
      <w:r>
        <w:rPr/>
        <w:instrText> HYPERLINK "mailto:ko@roseltorg.ru" </w:instrText>
      </w:r>
      <w:r>
        <w:fldChar w:fldCharType="separate"/>
      </w:r>
      <w:r>
        <w:rPr>
          <w:rStyle w:val="CharStyle15"/>
          <w:color w:val="000080"/>
          <w:sz w:val="28"/>
          <w:szCs w:val="28"/>
          <w:u w:val="single"/>
          <w:lang w:val="en-US" w:eastAsia="en-US"/>
        </w:rPr>
        <w:t>ko@roseltorg.ru</w:t>
      </w:r>
      <w:r>
        <w:fldChar w:fldCharType="end"/>
      </w:r>
    </w:p>
    <w:p>
      <w:pPr>
        <w:pStyle w:val="Style26"/>
        <w:keepNext w:val="0"/>
        <w:keepLines w:val="0"/>
        <w:widowControl w:val="0"/>
        <w:shd w:val="clear" w:color="auto" w:fill="auto"/>
        <w:bidi w:val="0"/>
        <w:spacing w:before="0" w:line="240" w:lineRule="auto"/>
        <w:ind w:left="0" w:right="0"/>
        <w:jc w:val="both"/>
      </w:pPr>
      <w:r>
        <w:rPr>
          <w:rStyle w:val="CharStyle27"/>
        </w:rPr>
        <w:t>о направлении решения</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РЕШЕНИЕ №037/06/105-238/2026 (07-15/2026-068)</w:t>
      </w:r>
    </w:p>
    <w:p>
      <w:pPr>
        <w:pStyle w:val="Style14"/>
        <w:keepNext w:val="0"/>
        <w:keepLines w:val="0"/>
        <w:widowControl w:val="0"/>
        <w:shd w:val="clear" w:color="auto" w:fill="auto"/>
        <w:tabs>
          <w:tab w:pos="8534" w:val="left"/>
        </w:tabs>
        <w:bidi w:val="0"/>
        <w:spacing w:before="0" w:after="0" w:line="240" w:lineRule="auto"/>
        <w:ind w:left="0" w:right="0" w:firstLine="0"/>
        <w:jc w:val="both"/>
      </w:pPr>
      <w:r>
        <w:rPr>
          <w:rStyle w:val="CharStyle15"/>
        </w:rPr>
        <w:t>Дата оглашения решения: 05 мая 2026 года</w:t>
        <w:tab/>
        <w:t>город Иваново</w:t>
      </w:r>
    </w:p>
    <w:p>
      <w:pPr>
        <w:pStyle w:val="Style14"/>
        <w:keepNext w:val="0"/>
        <w:keepLines w:val="0"/>
        <w:widowControl w:val="0"/>
        <w:shd w:val="clear" w:color="auto" w:fill="auto"/>
        <w:bidi w:val="0"/>
        <w:spacing w:before="0" w:after="260" w:line="240" w:lineRule="auto"/>
        <w:ind w:left="0" w:right="0" w:firstLine="0"/>
        <w:jc w:val="both"/>
      </w:pPr>
      <w:r>
        <w:rPr>
          <w:rStyle w:val="CharStyle15"/>
        </w:rPr>
        <w:t>Дата изготовления решения: 08 мая 2026 года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председателя Комиссии: Михеевой Т.А. – руководителя управления;</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членов Комиссии: Крутовой М.В. - начальника отдела контроля в сфере закупок, Жданкиной Ю.К. – главного специалиста-эксперта отдела контроля в сфере закупок,</w:t>
      </w:r>
    </w:p>
    <w:p>
      <w:pPr>
        <w:pStyle w:val="Style14"/>
        <w:keepNext w:val="0"/>
        <w:keepLines w:val="0"/>
        <w:widowControl w:val="0"/>
        <w:shd w:val="clear" w:color="auto" w:fill="auto"/>
        <w:bidi w:val="0"/>
        <w:spacing w:before="0" w:after="0" w:line="240" w:lineRule="auto"/>
        <w:ind w:left="0" w:right="0" w:firstLine="740"/>
        <w:jc w:val="both"/>
      </w:pPr>
      <w:r>
        <w:rPr>
          <w:rStyle w:val="CharStyle15"/>
        </w:rPr>
        <w:t>заседание проведено в режиме видеоконференцсвязи при участии представителей:</w:t>
      </w:r>
    </w:p>
    <w:p>
      <w:pPr>
        <w:pStyle w:val="Style14"/>
        <w:keepNext w:val="0"/>
        <w:keepLines w:val="0"/>
        <w:widowControl w:val="0"/>
        <w:numPr>
          <w:ilvl w:val="0"/>
          <w:numId w:val="1"/>
        </w:numPr>
        <w:shd w:val="clear" w:color="auto" w:fill="auto"/>
        <w:tabs>
          <w:tab w:pos="1099" w:val="left"/>
        </w:tabs>
        <w:bidi w:val="0"/>
        <w:spacing w:before="0" w:after="0" w:line="240" w:lineRule="auto"/>
        <w:ind w:left="0" w:right="0" w:firstLine="740"/>
        <w:jc w:val="both"/>
      </w:pPr>
      <w:r>
        <w:rPr>
          <w:rStyle w:val="CharStyle15"/>
        </w:rPr>
        <w:t>Департамента конкурсов и аукционов Ивановской области (далее – Уполномоченный орган): Сергеевой Ларисы Александровны (по доверенности от 06.03.2026), Сиушковой Людмилы Александровны (по доверенности от 05.03.2026), Новожиловой Натальи Викторовны (по доверенности от 10.06.2025);</w:t>
      </w:r>
    </w:p>
    <w:p>
      <w:pPr>
        <w:pStyle w:val="Style14"/>
        <w:keepNext w:val="0"/>
        <w:keepLines w:val="0"/>
        <w:widowControl w:val="0"/>
        <w:numPr>
          <w:ilvl w:val="0"/>
          <w:numId w:val="1"/>
        </w:numPr>
        <w:shd w:val="clear" w:color="auto" w:fill="auto"/>
        <w:tabs>
          <w:tab w:pos="1099" w:val="left"/>
        </w:tabs>
        <w:bidi w:val="0"/>
        <w:spacing w:before="0" w:after="0" w:line="240" w:lineRule="auto"/>
        <w:ind w:left="0" w:right="0" w:firstLine="740"/>
        <w:jc w:val="both"/>
      </w:pPr>
      <w:r>
        <w:rPr>
          <w:rStyle w:val="CharStyle15"/>
        </w:rPr>
        <w:t>ООО «СПК» (далее – Заявитель, Общество): Захаровой Оксаны Алексеевны (по доверенности от 05.05.2026), Алексеева Александра Анатольевича (на основании решения №1/03 от 26.03.2026),</w:t>
      </w:r>
    </w:p>
    <w:p>
      <w:pPr>
        <w:pStyle w:val="Style14"/>
        <w:keepNext w:val="0"/>
        <w:keepLines w:val="0"/>
        <w:widowControl w:val="0"/>
        <w:shd w:val="clear" w:color="auto" w:fill="auto"/>
        <w:bidi w:val="0"/>
        <w:spacing w:before="0" w:after="940" w:line="240" w:lineRule="auto"/>
        <w:ind w:left="0" w:right="0" w:firstLine="740"/>
        <w:jc w:val="both"/>
      </w:pPr>
      <w:r>
        <w:rPr>
          <w:rStyle w:val="CharStyle15"/>
        </w:rPr>
        <w:t>в отсутствие представителей Муниципального бюджетного общеобразовательного учреждения Тейковского муниципального района Новогоряновская средняя общеобразовательная школа (далее – МБОУ Новогоряновская СОШ, Заказчик) (указанное лицо надлежащим образом уведомлено о дате, времени и месте рассмотрения жалобы, ходатайствовало о рассмотрении жалобы в отсутствие своих представителей),</w:t>
      </w:r>
    </w:p>
    <w:p>
      <w:pPr>
        <w:pStyle w:val="Style29"/>
        <w:keepNext/>
        <w:keepLines/>
        <w:widowControl w:val="0"/>
        <w:shd w:val="clear" w:color="auto" w:fill="auto"/>
        <w:bidi w:val="0"/>
        <w:spacing w:before="0" w:line="240" w:lineRule="auto"/>
        <w:ind w:left="0" w:right="0" w:firstLine="0"/>
        <w:jc w:val="both"/>
      </w:pPr>
      <w:bookmarkStart w:id="13" w:name="bookmark13"/>
      <w:r>
        <w:rPr>
          <w:rStyle w:val="CharStyle30"/>
          <w:lang w:val="ru-RU" w:eastAsia="ru-RU"/>
        </w:rPr>
        <w:t xml:space="preserve">]|||| </w:t>
      </w:r>
      <w:r>
        <w:rPr>
          <w:rStyle w:val="CharStyle30"/>
        </w:rPr>
        <w:t xml:space="preserve">Illi </w:t>
      </w:r>
      <w:r>
        <w:rPr>
          <w:rStyle w:val="CharStyle30"/>
          <w:lang w:val="ru-RU" w:eastAsia="ru-RU"/>
        </w:rPr>
        <w:t xml:space="preserve">II </w:t>
      </w:r>
      <w:r>
        <w:rPr>
          <w:rStyle w:val="CharStyle30"/>
        </w:rPr>
        <w:t xml:space="preserve">mil III III </w:t>
      </w:r>
      <w:r>
        <w:rPr>
          <w:rStyle w:val="CharStyle30"/>
          <w:lang w:val="ru-RU" w:eastAsia="ru-RU"/>
        </w:rPr>
        <w:t>II</w:t>
      </w:r>
      <w:bookmarkEnd w:id="13"/>
    </w:p>
    <w:p>
      <w:pPr>
        <w:pStyle w:val="Style14"/>
        <w:keepNext w:val="0"/>
        <w:keepLines w:val="0"/>
        <w:widowControl w:val="0"/>
        <w:shd w:val="clear" w:color="auto" w:fill="auto"/>
        <w:bidi w:val="0"/>
        <w:spacing w:before="0" w:after="80" w:line="240" w:lineRule="auto"/>
        <w:ind w:left="0" w:right="0" w:firstLine="720"/>
        <w:jc w:val="both"/>
      </w:pPr>
      <w:r>
        <w:rPr>
          <w:rStyle w:val="CharStyle15"/>
        </w:rPr>
        <w:t xml:space="preserve">рассмотрев жалобу ООО «СПК» на действия комиссии Департамента конкурсов и аукционов Ивановской области при проведении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 xml:space="preserve">Закона №44-ФЗ на проведение работ по капитальному ремонту кровли здания МБОУ Новогоряновская СОШ (извещение </w:t>
      </w:r>
      <w:r>
        <w:rPr>
          <w:rStyle w:val="CharStyle15"/>
          <w:lang w:val="en-US" w:eastAsia="en-US"/>
        </w:rPr>
        <w:t xml:space="preserve">№ 0133200001726000568), </w:t>
      </w:r>
      <w:r>
        <w:rPr>
          <w:rStyle w:val="CharStyle15"/>
        </w:rPr>
        <w:t xml:space="preserve">и в результате осуществления внеплановой проверки в соответствии с п. </w:t>
      </w:r>
      <w:r>
        <w:rPr>
          <w:rStyle w:val="CharStyle15"/>
          <w:lang w:val="en-US" w:eastAsia="en-US"/>
        </w:rPr>
        <w:t xml:space="preserve">1 </w:t>
      </w:r>
      <w:r>
        <w:rPr>
          <w:rStyle w:val="CharStyle15"/>
        </w:rPr>
        <w:t xml:space="preserve">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Федерального закона от </w:t>
      </w:r>
      <w:r>
        <w:rPr>
          <w:rStyle w:val="CharStyle15"/>
          <w:lang w:val="en-US" w:eastAsia="en-US"/>
        </w:rPr>
        <w:t xml:space="preserve">05.04.2013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w:t>
      </w:r>
    </w:p>
    <w:p>
      <w:pPr>
        <w:pStyle w:val="Style14"/>
        <w:keepNext w:val="0"/>
        <w:keepLines w:val="0"/>
        <w:widowControl w:val="0"/>
        <w:shd w:val="clear" w:color="auto" w:fill="auto"/>
        <w:bidi w:val="0"/>
        <w:spacing w:before="0" w:after="8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28.04.2026 </w:t>
      </w:r>
      <w:r>
        <w:rPr>
          <w:rStyle w:val="CharStyle15"/>
        </w:rPr>
        <w:t xml:space="preserve">в Управление Федеральной антимонопольной службы по Ивановской области поступила жалоба ООО "СПК" на действия комиссии Департамента конкурсов и аукционов Ивановской области при проведении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 xml:space="preserve">Закона №44-ФЗ на проведение работ по капитальному ремонту кровли здания МБОУ Новогоряновская СОШ (извещение </w:t>
      </w:r>
      <w:r>
        <w:rPr>
          <w:rStyle w:val="CharStyle15"/>
          <w:lang w:val="en-US" w:eastAsia="en-US"/>
        </w:rPr>
        <w:t>№ 0133200001726000568).</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жалобе Заявителя, Уполномоченным органом неправомерно были не зачтены представленные Обществом в качестве подтверждения наличия опыта выполнения работ контракты по капитальному ремонту на объектах культурного наследия, представленные в реестре исполненных контрактов под номерами: </w:t>
      </w:r>
      <w:r>
        <w:rPr>
          <w:rStyle w:val="CharStyle15"/>
          <w:lang w:val="en-US" w:eastAsia="en-US"/>
        </w:rPr>
        <w:t xml:space="preserve">17, 18, 24, 26, 29, 30, 44, 45,46,49. </w:t>
      </w:r>
      <w:r>
        <w:rPr>
          <w:rStyle w:val="CharStyle15"/>
        </w:rPr>
        <w:t>В случае принятия данных контрактов к оценке Заявителю было бы присвоено максимальное количество баллов. Все указанные контракты по существу соответствуют порядку оценки заявок извещения о закупке (соотносятся с предметом конкурса), поскольку предметом каждого является капитальный ремонт объекта капитального строительства. Сам факт отнесения объекта капитального строительства к объектам культурного наследия никак не влияет на сам характер работ в части капитального ремонта.</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Согласно письменным возражениям Уполномоченного органа, а также пояснениям его представителей, участвующих в рассмотрении жалобы, Уполномоченный орган не согласен с доводом жалобы, нарушений при проведении закупки допущено не было.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представленные ООО «СПК», Департаментом конкурсов и аукционов Ивановской области, МБОУ Новогоряновская СОШ, АО «ЕЭТП» документы, заслушав представителей лиц, участвующих в рассмотрении жалобы, проведя внеплановую проверку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Комиссия Ивановского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19.03.2026 </w:t>
      </w:r>
      <w:r>
        <w:rPr>
          <w:rStyle w:val="CharStyle15"/>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5"/>
          <w:lang w:val="en-US" w:eastAsia="en-US"/>
        </w:rPr>
        <w:t>(</w:t>
      </w:r>
      <w:r>
        <w:fldChar w:fldCharType="begin"/>
      </w:r>
      <w:r>
        <w:rPr/>
        <w:instrText> HYPERLINK "http://www.zakupki.gov.ru" </w:instrText>
      </w:r>
      <w:r>
        <w:fldChar w:fldCharType="separate"/>
      </w:r>
      <w:r>
        <w:rPr>
          <w:rStyle w:val="CharStyle15"/>
          <w:color w:val="000080"/>
          <w:u w:val="single"/>
          <w:lang w:val="en-US" w:eastAsia="en-US"/>
        </w:rPr>
        <w:t>www.zakupki.gov.ru</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официальный сайт) было размещено извещение </w:t>
      </w:r>
      <w:r>
        <w:rPr>
          <w:rStyle w:val="CharStyle15"/>
          <w:lang w:val="en-US" w:eastAsia="en-US"/>
        </w:rPr>
        <w:t xml:space="preserve">№0133200001726000568 </w:t>
      </w:r>
      <w:r>
        <w:rPr>
          <w:rStyle w:val="CharStyle15"/>
        </w:rPr>
        <w:t xml:space="preserve">о проведении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 xml:space="preserve">Закона </w:t>
      </w:r>
      <w:r>
        <w:rPr>
          <w:rStyle w:val="CharStyle15"/>
          <w:lang w:val="en-US" w:eastAsia="en-US"/>
        </w:rPr>
        <w:t xml:space="preserve">№ </w:t>
      </w:r>
      <w:r>
        <w:rPr>
          <w:rStyle w:val="CharStyle15"/>
        </w:rPr>
        <w:t xml:space="preserve">44-ФЗ на проведение работ по капитальному ремонту кровли здания МБОУ Новогоряновская СОШ (далее </w:t>
      </w:r>
      <w:r>
        <w:rPr>
          <w:rStyle w:val="CharStyle15"/>
          <w:lang w:val="en-US" w:eastAsia="en-US"/>
        </w:rPr>
        <w:t xml:space="preserve">– </w:t>
      </w:r>
      <w:r>
        <w:rPr>
          <w:rStyle w:val="CharStyle15"/>
        </w:rPr>
        <w:t>Закупка).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4"/>
        <w:keepNext w:val="0"/>
        <w:keepLines w:val="0"/>
        <w:widowControl w:val="0"/>
        <w:shd w:val="clear" w:color="auto" w:fill="auto"/>
        <w:bidi w:val="0"/>
        <w:spacing w:before="0" w:after="180" w:line="240" w:lineRule="auto"/>
        <w:ind w:left="0" w:right="0" w:firstLine="720"/>
        <w:jc w:val="both"/>
      </w:pPr>
      <w:r>
        <w:rPr>
          <w:rStyle w:val="CharStyle15"/>
          <w:lang w:val="en-US" w:eastAsia="en-US"/>
        </w:rPr>
        <w:t xml:space="preserve">– </w:t>
      </w:r>
      <w:r>
        <w:rPr>
          <w:rStyle w:val="CharStyle15"/>
        </w:rPr>
        <w:t xml:space="preserve">начальная (максимальная) цена контракта </w:t>
      </w:r>
      <w:r>
        <w:rPr>
          <w:rStyle w:val="CharStyle15"/>
          <w:lang w:val="en-US" w:eastAsia="en-US"/>
        </w:rPr>
        <w:t xml:space="preserve">– 17 980 840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 </w:t>
      </w:r>
      <w:r>
        <w:rPr>
          <w:rStyle w:val="CharStyle15"/>
        </w:rPr>
        <w:t xml:space="preserve">дата и время окончания подачи заявок: </w:t>
      </w:r>
      <w:r>
        <w:rPr>
          <w:rStyle w:val="CharStyle15"/>
          <w:lang w:val="en-US" w:eastAsia="en-US"/>
        </w:rPr>
        <w:t>17.04.2026 07:00;</w:t>
      </w:r>
    </w:p>
    <w:p>
      <w:pPr>
        <w:pStyle w:val="Style14"/>
        <w:keepNext w:val="0"/>
        <w:keepLines w:val="0"/>
        <w:widowControl w:val="0"/>
        <w:numPr>
          <w:ilvl w:val="0"/>
          <w:numId w:val="3"/>
        </w:numPr>
        <w:shd w:val="clear" w:color="auto" w:fill="auto"/>
        <w:tabs>
          <w:tab w:pos="994" w:val="left"/>
        </w:tabs>
        <w:bidi w:val="0"/>
        <w:spacing w:before="0" w:after="0" w:line="240" w:lineRule="auto"/>
        <w:ind w:left="0" w:right="0" w:firstLine="720"/>
        <w:jc w:val="both"/>
      </w:pPr>
      <w:r>
        <w:rPr>
          <w:rStyle w:val="CharStyle15"/>
        </w:rPr>
        <w:t xml:space="preserve">дата рассмотрения и оценки вторых частей заявок на участие в закупке: </w:t>
      </w:r>
      <w:r>
        <w:rPr>
          <w:rStyle w:val="CharStyle15"/>
          <w:lang w:val="en-US" w:eastAsia="en-US"/>
        </w:rPr>
        <w:t>21.04.2026;</w:t>
      </w:r>
    </w:p>
    <w:p>
      <w:pPr>
        <w:pStyle w:val="Style14"/>
        <w:keepNext w:val="0"/>
        <w:keepLines w:val="0"/>
        <w:widowControl w:val="0"/>
        <w:numPr>
          <w:ilvl w:val="0"/>
          <w:numId w:val="3"/>
        </w:numPr>
        <w:shd w:val="clear" w:color="auto" w:fill="auto"/>
        <w:tabs>
          <w:tab w:pos="984" w:val="left"/>
        </w:tabs>
        <w:bidi w:val="0"/>
        <w:spacing w:before="0" w:after="0" w:line="240" w:lineRule="auto"/>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22.04.2026;</w:t>
      </w:r>
    </w:p>
    <w:p>
      <w:pPr>
        <w:pStyle w:val="Style14"/>
        <w:keepNext w:val="0"/>
        <w:keepLines w:val="0"/>
        <w:widowControl w:val="0"/>
        <w:numPr>
          <w:ilvl w:val="0"/>
          <w:numId w:val="3"/>
        </w:numPr>
        <w:shd w:val="clear" w:color="auto" w:fill="auto"/>
        <w:tabs>
          <w:tab w:pos="984" w:val="left"/>
        </w:tabs>
        <w:bidi w:val="0"/>
        <w:spacing w:before="0" w:after="0" w:line="240" w:lineRule="auto"/>
        <w:ind w:left="0" w:right="0" w:firstLine="720"/>
        <w:jc w:val="both"/>
      </w:pPr>
      <w:r>
        <w:rPr>
          <w:rStyle w:val="CharStyle15"/>
        </w:rPr>
        <w:t xml:space="preserve">согласно протоколу рассмотрения и оценки вторых частей заявок на участие в открытом конкурсе в электронной форме от </w:t>
      </w:r>
      <w:r>
        <w:rPr>
          <w:rStyle w:val="CharStyle15"/>
          <w:lang w:val="en-US" w:eastAsia="en-US"/>
        </w:rPr>
        <w:t xml:space="preserve">21.04.2026 №ПРОII1 </w:t>
      </w:r>
      <w:r>
        <w:rPr>
          <w:rStyle w:val="CharStyle15"/>
        </w:rPr>
        <w:t xml:space="preserve">по окончании срока подачи заявок на участие в закупке было подано семь заявок от участников закупки, </w:t>
      </w:r>
      <w:r>
        <w:rPr>
          <w:rStyle w:val="CharStyle15"/>
          <w:lang w:val="en-US" w:eastAsia="en-US"/>
        </w:rPr>
        <w:t xml:space="preserve">6 </w:t>
      </w:r>
      <w:r>
        <w:rPr>
          <w:rStyle w:val="CharStyle15"/>
        </w:rPr>
        <w:t xml:space="preserve">заявок были признаны соответствующими требованиям извещения о закупке и Закону о контрактной системе, </w:t>
      </w:r>
      <w:r>
        <w:rPr>
          <w:rStyle w:val="CharStyle15"/>
          <w:lang w:val="en-US" w:eastAsia="en-US"/>
        </w:rPr>
        <w:t xml:space="preserve">1 </w:t>
      </w:r>
      <w:r>
        <w:rPr>
          <w:rStyle w:val="CharStyle15"/>
        </w:rPr>
        <w:t>заявка отклонена;</w:t>
      </w:r>
    </w:p>
    <w:p>
      <w:pPr>
        <w:pStyle w:val="Style14"/>
        <w:keepNext w:val="0"/>
        <w:keepLines w:val="0"/>
        <w:widowControl w:val="0"/>
        <w:shd w:val="clear" w:color="auto" w:fill="auto"/>
        <w:bidi w:val="0"/>
        <w:spacing w:before="0" w:after="260" w:line="240" w:lineRule="auto"/>
        <w:ind w:left="0" w:right="0" w:firstLine="720"/>
        <w:jc w:val="both"/>
      </w:pPr>
      <w:r>
        <w:rPr>
          <w:rStyle w:val="CharStyle15"/>
          <w:lang w:val="en-US" w:eastAsia="en-US"/>
        </w:rPr>
        <w:t xml:space="preserve">– </w:t>
      </w: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22.04.2026 </w:t>
      </w:r>
      <w:r>
        <w:rPr>
          <w:rStyle w:val="CharStyle15"/>
        </w:rPr>
        <w:t xml:space="preserve">№ИЭОК1 победителем закупки признан участник закупки с идентификационным номером заявки </w:t>
      </w:r>
      <w:r>
        <w:rPr>
          <w:rStyle w:val="CharStyle15"/>
          <w:lang w:val="en-US" w:eastAsia="en-US"/>
        </w:rPr>
        <w:t xml:space="preserve">3092636 </w:t>
      </w:r>
      <w:r>
        <w:rPr>
          <w:rStyle w:val="CharStyle15"/>
        </w:rPr>
        <w:t xml:space="preserve">с ценовым предложением </w:t>
      </w:r>
      <w:r>
        <w:rPr>
          <w:rStyle w:val="CharStyle15"/>
          <w:lang w:val="en-US" w:eastAsia="en-US"/>
        </w:rPr>
        <w:t xml:space="preserve">17 441 141 </w:t>
      </w:r>
      <w:r>
        <w:rPr>
          <w:rStyle w:val="CharStyle15"/>
        </w:rPr>
        <w:t xml:space="preserve">рублей. Заявке Заявителя присвоен второй порядковый номер с итоговой оценкой </w:t>
      </w:r>
      <w:r>
        <w:rPr>
          <w:rStyle w:val="CharStyle15"/>
          <w:lang w:val="en-US" w:eastAsia="en-US"/>
        </w:rPr>
        <w:t xml:space="preserve">73,51 </w:t>
      </w:r>
      <w:r>
        <w:rPr>
          <w:rStyle w:val="CharStyle15"/>
        </w:rPr>
        <w:t>балла.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Ивановского УФАС России считает жалобу Заявителя обоснованной по следующим основаниям.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подпункта "б" пункта </w:t>
      </w:r>
      <w:r>
        <w:rPr>
          <w:rStyle w:val="CharStyle15"/>
          <w:lang w:val="en-US" w:eastAsia="en-US"/>
        </w:rPr>
        <w:t xml:space="preserve">1 </w:t>
      </w:r>
      <w:r>
        <w:rPr>
          <w:rStyle w:val="CharStyle15"/>
        </w:rPr>
        <w:t xml:space="preserve">части </w:t>
      </w:r>
      <w:r>
        <w:rPr>
          <w:rStyle w:val="CharStyle15"/>
          <w:lang w:val="en-US" w:eastAsia="en-US"/>
        </w:rPr>
        <w:t xml:space="preserve">11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10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Закона о контрактной системе (если такой критерий установлен извещением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11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4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определено,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 Порядок рассмотрения и оценки заявок на участие в конкурсе размещается заказчиками в виде электронного документа.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Порядок рассмотрения и оценки заявок на участие в конкурсе размещен Заказчиком в обязательном электронном документе </w:t>
      </w:r>
      <w:r>
        <w:rPr>
          <w:rStyle w:val="CharStyle15"/>
          <w:lang w:val="en-US" w:eastAsia="en-US"/>
        </w:rPr>
        <w:t xml:space="preserve">– </w:t>
      </w:r>
      <w:r>
        <w:rPr>
          <w:rStyle w:val="CharStyle15"/>
        </w:rPr>
        <w:t xml:space="preserve">приложении к извещению (далее </w:t>
      </w:r>
      <w:r>
        <w:rPr>
          <w:rStyle w:val="CharStyle15"/>
          <w:lang w:val="en-US" w:eastAsia="en-US"/>
        </w:rPr>
        <w:t xml:space="preserve">– </w:t>
      </w:r>
      <w:r>
        <w:rPr>
          <w:rStyle w:val="CharStyle15"/>
        </w:rPr>
        <w:t>порядок).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 xml:space="preserve">Закона о контрактной системе для оценки заявок участников закупки Заказчик использует критерий </w:t>
      </w:r>
      <w:r>
        <w:rPr>
          <w:rStyle w:val="CharStyle15"/>
          <w:lang w:val="en-US" w:eastAsia="en-US"/>
        </w:rPr>
        <w:t xml:space="preserve">- </w:t>
      </w:r>
      <w:r>
        <w:rPr>
          <w:rStyle w:val="CharStyle15"/>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соответствии с частью </w:t>
      </w:r>
      <w:r>
        <w:rPr>
          <w:rStyle w:val="CharStyle15"/>
          <w:lang w:val="en-US" w:eastAsia="en-US"/>
        </w:rPr>
        <w:t xml:space="preserve">8 </w:t>
      </w:r>
      <w:r>
        <w:rPr>
          <w:rStyle w:val="CharStyle15"/>
        </w:rPr>
        <w:t xml:space="preserve">статьи </w:t>
      </w:r>
      <w:r>
        <w:rPr>
          <w:rStyle w:val="CharStyle15"/>
          <w:lang w:val="en-US" w:eastAsia="en-US"/>
        </w:rPr>
        <w:t xml:space="preserve">32 </w:t>
      </w:r>
      <w:r>
        <w:rPr>
          <w:rStyle w:val="CharStyle15"/>
        </w:rPr>
        <w:t xml:space="preserve">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w:t>
      </w:r>
      <w:r>
        <w:rPr>
          <w:rStyle w:val="CharStyle15"/>
          <w:lang w:val="en-US" w:eastAsia="en-US"/>
        </w:rPr>
        <w:t xml:space="preserve">31.12.2021 №2604 </w:t>
      </w:r>
      <w:r>
        <w:rPr>
          <w:rStyle w:val="CharStyle15"/>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5"/>
          <w:lang w:val="en-US" w:eastAsia="en-US"/>
        </w:rPr>
        <w:t xml:space="preserve">4 </w:t>
      </w:r>
      <w:r>
        <w:rPr>
          <w:rStyle w:val="CharStyle15"/>
        </w:rPr>
        <w:t xml:space="preserve">постановления Правительства Российской Федерации от </w:t>
      </w:r>
      <w:r>
        <w:rPr>
          <w:rStyle w:val="CharStyle15"/>
          <w:lang w:val="en-US" w:eastAsia="en-US"/>
        </w:rPr>
        <w:t xml:space="preserve">20 </w:t>
      </w:r>
      <w:r>
        <w:rPr>
          <w:rStyle w:val="CharStyle15"/>
        </w:rPr>
        <w:t xml:space="preserve">декабря </w:t>
      </w:r>
      <w:r>
        <w:rPr>
          <w:rStyle w:val="CharStyle15"/>
          <w:lang w:val="en-US" w:eastAsia="en-US"/>
        </w:rPr>
        <w:t xml:space="preserve">2021 №2369 </w:t>
      </w:r>
      <w:r>
        <w:rPr>
          <w:rStyle w:val="CharStyle15"/>
        </w:rPr>
        <w:t xml:space="preserve">и признании утратившими силу некоторых актов и отдельных положений некоторых актов Правительства Российской Федерации" (далее </w:t>
      </w:r>
      <w:r>
        <w:rPr>
          <w:rStyle w:val="CharStyle15"/>
          <w:lang w:val="en-US" w:eastAsia="en-US"/>
        </w:rPr>
        <w:t xml:space="preserve">- </w:t>
      </w:r>
      <w:r>
        <w:rPr>
          <w:rStyle w:val="CharStyle15"/>
        </w:rPr>
        <w:t>Положение).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пункту </w:t>
      </w:r>
      <w:r>
        <w:rPr>
          <w:rStyle w:val="CharStyle15"/>
          <w:lang w:val="en-US" w:eastAsia="en-US"/>
        </w:rPr>
        <w:t xml:space="preserve">2 </w:t>
      </w:r>
      <w:r>
        <w:rPr>
          <w:rStyle w:val="CharStyle15"/>
        </w:rPr>
        <w:t xml:space="preserve">Положения "оценка заявок" </w:t>
      </w:r>
      <w:r>
        <w:rPr>
          <w:rStyle w:val="CharStyle15"/>
          <w:lang w:val="en-US" w:eastAsia="en-US"/>
        </w:rPr>
        <w:t xml:space="preserve">- </w:t>
      </w:r>
      <w:r>
        <w:rPr>
          <w:rStyle w:val="CharStyle15"/>
        </w:rPr>
        <w:t>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Подпунктом "в" пункта </w:t>
      </w:r>
      <w:r>
        <w:rPr>
          <w:rStyle w:val="CharStyle15"/>
          <w:lang w:val="en-US" w:eastAsia="en-US"/>
        </w:rPr>
        <w:t xml:space="preserve">24 </w:t>
      </w:r>
      <w:r>
        <w:rPr>
          <w:rStyle w:val="CharStyle15"/>
        </w:rPr>
        <w:t>Положения установлено, что для оценки заявок по критерию оценки "Квалификация участников закупки" может применяться, если иное не предусмотрено Положением, показатель оценки "Наличие у участников закупки опыта поставки товара, выполнения работы, оказания услуги, связанного с предметом контракта".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соответствии с подпунктом "а" пункта </w:t>
      </w:r>
      <w:r>
        <w:rPr>
          <w:rStyle w:val="CharStyle15"/>
          <w:lang w:val="en-US" w:eastAsia="en-US"/>
        </w:rPr>
        <w:t xml:space="preserve">28 </w:t>
      </w:r>
      <w:r>
        <w:rPr>
          <w:rStyle w:val="CharStyle15"/>
        </w:rPr>
        <w:t xml:space="preserve">Положения в случае применения показателя оценки, предусмотренного подпунктом "в" пункта </w:t>
      </w:r>
      <w:r>
        <w:rPr>
          <w:rStyle w:val="CharStyle15"/>
          <w:lang w:val="en-US" w:eastAsia="en-US"/>
        </w:rPr>
        <w:t xml:space="preserve">24 </w:t>
      </w:r>
      <w:r>
        <w:rPr>
          <w:rStyle w:val="CharStyle15"/>
        </w:rPr>
        <w:t>Положения, применяются один или несколько из следующих детализирующих показателей оценки:</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rStyle w:val="CharStyle15"/>
        </w:rPr>
        <w:t>общая цена исполненных участником закупки договоров;</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rStyle w:val="CharStyle15"/>
        </w:rPr>
        <w:t>общее количество исполненных участником закупки договоров;</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rStyle w:val="CharStyle15"/>
        </w:rPr>
        <w:t>наибольшая цена одного из исполненных участником закупки договоров.</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подпункту "в" пункта </w:t>
      </w:r>
      <w:r>
        <w:rPr>
          <w:rStyle w:val="CharStyle15"/>
          <w:lang w:val="en-US" w:eastAsia="en-US"/>
        </w:rPr>
        <w:t xml:space="preserve">28 </w:t>
      </w:r>
      <w:r>
        <w:rPr>
          <w:rStyle w:val="CharStyle15"/>
        </w:rPr>
        <w:t xml:space="preserve">Положения в случае применения показателя оценки, предусмотренного подпунктом "в" пункта </w:t>
      </w:r>
      <w:r>
        <w:rPr>
          <w:rStyle w:val="CharStyle15"/>
          <w:lang w:val="en-US" w:eastAsia="en-US"/>
        </w:rPr>
        <w:t xml:space="preserve">24 </w:t>
      </w:r>
      <w:r>
        <w:rPr>
          <w:rStyle w:val="CharStyle15"/>
        </w:rPr>
        <w:t>Положения,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Согласно подпункту "е" пункта </w:t>
      </w:r>
      <w:r>
        <w:rPr>
          <w:rStyle w:val="CharStyle15"/>
          <w:lang w:val="en-US" w:eastAsia="en-US"/>
        </w:rPr>
        <w:t xml:space="preserve">28 </w:t>
      </w:r>
      <w:r>
        <w:rPr>
          <w:rStyle w:val="CharStyle15"/>
        </w:rPr>
        <w:t xml:space="preserve">Положения в случае применения показателя оценки, предусмотренного подпунктом "в" пункта </w:t>
      </w:r>
      <w:r>
        <w:rPr>
          <w:rStyle w:val="CharStyle15"/>
          <w:lang w:val="en-US" w:eastAsia="en-US"/>
        </w:rPr>
        <w:t xml:space="preserve">24 </w:t>
      </w:r>
      <w:r>
        <w:rPr>
          <w:rStyle w:val="CharStyle15"/>
        </w:rPr>
        <w:t xml:space="preserve">Положения, к оценке принимаются документы, предусмотренные абзацем третьим подпункта "в" пункта </w:t>
      </w:r>
      <w:r>
        <w:rPr>
          <w:rStyle w:val="CharStyle15"/>
          <w:lang w:val="en-US" w:eastAsia="en-US"/>
        </w:rPr>
        <w:t xml:space="preserve">28 </w:t>
      </w:r>
      <w:r>
        <w:rPr>
          <w:rStyle w:val="CharStyle15"/>
        </w:rPr>
        <w:t xml:space="preserve">Положения, в случае их представления в заявке в полном объеме и со всеми приложениями, за исключением случаев, предусмотренных подпунктом "д" пункта </w:t>
      </w:r>
      <w:r>
        <w:rPr>
          <w:rStyle w:val="CharStyle15"/>
          <w:lang w:val="en-US" w:eastAsia="en-US"/>
        </w:rPr>
        <w:t xml:space="preserve">31, </w:t>
      </w:r>
      <w:r>
        <w:rPr>
          <w:rStyle w:val="CharStyle15"/>
        </w:rPr>
        <w:t xml:space="preserve">подпунктом "г" пункта </w:t>
      </w:r>
      <w:r>
        <w:rPr>
          <w:rStyle w:val="CharStyle15"/>
          <w:lang w:val="en-US" w:eastAsia="en-US"/>
        </w:rPr>
        <w:t xml:space="preserve">32 </w:t>
      </w:r>
      <w:r>
        <w:rPr>
          <w:rStyle w:val="CharStyle15"/>
        </w:rPr>
        <w:t xml:space="preserve">и подпунктом "г" пункта </w:t>
      </w:r>
      <w:r>
        <w:rPr>
          <w:rStyle w:val="CharStyle15"/>
          <w:lang w:val="en-US" w:eastAsia="en-US"/>
        </w:rPr>
        <w:t xml:space="preserve">33 </w:t>
      </w:r>
      <w:r>
        <w:rPr>
          <w:rStyle w:val="CharStyle15"/>
        </w:rPr>
        <w:t>Положения.</w:t>
      </w:r>
    </w:p>
    <w:p>
      <w:pPr>
        <w:pStyle w:val="Style14"/>
        <w:keepNext w:val="0"/>
        <w:keepLines w:val="0"/>
        <w:widowControl w:val="0"/>
        <w:shd w:val="clear" w:color="auto" w:fill="auto"/>
        <w:bidi w:val="0"/>
        <w:spacing w:before="0" w:after="0" w:line="240" w:lineRule="auto"/>
        <w:ind w:left="0" w:right="0" w:firstLine="740"/>
        <w:jc w:val="both"/>
      </w:pPr>
      <w:r>
        <w:rPr>
          <w:rStyle w:val="CharStyle15"/>
        </w:rPr>
        <w:t>Заказчиком установлены по показателю оценки «Наличие у участников закупки опыта работы, связанного с предметом контракта» детализирующие показатели оценки:</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rStyle w:val="CharStyle15"/>
        </w:rPr>
        <w:t xml:space="preserve">«Общая цена исполненных участником закупки договоров» </w:t>
      </w:r>
      <w:r>
        <w:rPr>
          <w:rStyle w:val="CharStyle15"/>
          <w:lang w:val="en-US" w:eastAsia="en-US"/>
        </w:rPr>
        <w:t>- 50%;</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rStyle w:val="CharStyle15"/>
        </w:rPr>
        <w:t xml:space="preserve">«Наибольшая цена одного из исполненных участником закупки договоров» </w:t>
      </w:r>
      <w:r>
        <w:rPr>
          <w:rStyle w:val="CharStyle15"/>
          <w:lang w:val="en-US" w:eastAsia="en-US"/>
        </w:rPr>
        <w:t>- 50%.</w:t>
      </w:r>
    </w:p>
    <w:p>
      <w:pPr>
        <w:pStyle w:val="Style14"/>
        <w:keepNext w:val="0"/>
        <w:keepLines w:val="0"/>
        <w:widowControl w:val="0"/>
        <w:shd w:val="clear" w:color="auto" w:fill="auto"/>
        <w:bidi w:val="0"/>
        <w:spacing w:before="0" w:after="0" w:line="240" w:lineRule="auto"/>
        <w:ind w:left="0" w:right="0" w:firstLine="740"/>
        <w:jc w:val="both"/>
      </w:pPr>
      <w:r>
        <w:rPr>
          <w:rStyle w:val="CharStyle15"/>
        </w:rPr>
        <w:t>Заказчиком установлен следующий порядок оценки:</w:t>
      </w:r>
    </w:p>
    <w:p>
      <w:pPr>
        <w:pStyle w:val="Style14"/>
        <w:keepNext w:val="0"/>
        <w:keepLines w:val="0"/>
        <w:widowControl w:val="0"/>
        <w:numPr>
          <w:ilvl w:val="0"/>
          <w:numId w:val="7"/>
        </w:numPr>
        <w:shd w:val="clear" w:color="auto" w:fill="auto"/>
        <w:tabs>
          <w:tab w:pos="1097" w:val="left"/>
        </w:tabs>
        <w:bidi w:val="0"/>
        <w:spacing w:before="0" w:after="0" w:line="240" w:lineRule="auto"/>
        <w:ind w:left="0" w:right="0" w:firstLine="740"/>
        <w:jc w:val="both"/>
      </w:pPr>
      <w:r>
        <w:rPr>
          <w:rStyle w:val="CharStyle15"/>
        </w:rPr>
        <w:t xml:space="preserve">Установлено положение о принятии к оценке исключительно исполненного договора (договоров), предусматривающего выполнение </w:t>
      </w:r>
      <w:r>
        <w:rPr>
          <w:rStyle w:val="CharStyle15"/>
          <w:lang w:val="en-US" w:eastAsia="en-US"/>
        </w:rPr>
        <w:t xml:space="preserve">paбoт </w:t>
      </w:r>
      <w:r>
        <w:rPr>
          <w:rStyle w:val="CharStyle15"/>
        </w:rPr>
        <w:t>на следующем объекте, соответствующем объекту закупки:</w:t>
      </w:r>
    </w:p>
    <w:p>
      <w:pPr>
        <w:pStyle w:val="Style14"/>
        <w:keepNext w:val="0"/>
        <w:keepLines w:val="0"/>
        <w:widowControl w:val="0"/>
        <w:shd w:val="clear" w:color="auto" w:fill="auto"/>
        <w:bidi w:val="0"/>
        <w:spacing w:before="0" w:after="0" w:line="259" w:lineRule="auto"/>
        <w:ind w:left="0" w:right="0" w:firstLine="740"/>
        <w:jc w:val="both"/>
      </w:pPr>
      <w:r>
        <w:rPr>
          <w:rStyle w:val="CharStyle15"/>
          <w:sz w:val="24"/>
          <w:szCs w:val="24"/>
          <w:lang w:val="en-US" w:eastAsia="en-US"/>
        </w:rPr>
        <w:t xml:space="preserve">- </w:t>
      </w:r>
      <w:r>
        <w:rPr>
          <w:rStyle w:val="CharStyle15"/>
        </w:rPr>
        <w:t>объект капитального строительства (за исключением линейного объекта).</w:t>
      </w:r>
    </w:p>
    <w:p>
      <w:pPr>
        <w:pStyle w:val="Style14"/>
        <w:keepNext w:val="0"/>
        <w:keepLines w:val="0"/>
        <w:widowControl w:val="0"/>
        <w:numPr>
          <w:ilvl w:val="0"/>
          <w:numId w:val="7"/>
        </w:numPr>
        <w:shd w:val="clear" w:color="auto" w:fill="auto"/>
        <w:tabs>
          <w:tab w:pos="1087" w:val="left"/>
        </w:tabs>
        <w:bidi w:val="0"/>
        <w:spacing w:before="0" w:after="0" w:line="240" w:lineRule="auto"/>
        <w:ind w:left="0" w:right="0" w:firstLine="740"/>
        <w:jc w:val="both"/>
      </w:pPr>
      <w:r>
        <w:rPr>
          <w:rStyle w:val="CharStyle15"/>
        </w:rPr>
        <w:t>Установлено положение о принятии к оценке исключительно исполненного договора (договоров), относящегося к одному или нескольким из следующих договоров</w:t>
      </w:r>
    </w:p>
    <w:p>
      <w:pPr>
        <w:pStyle w:val="Style14"/>
        <w:keepNext w:val="0"/>
        <w:keepLines w:val="0"/>
        <w:widowControl w:val="0"/>
        <w:shd w:val="clear" w:color="auto" w:fill="auto"/>
        <w:bidi w:val="0"/>
        <w:spacing w:before="0" w:after="0" w:line="240" w:lineRule="auto"/>
        <w:ind w:left="0" w:right="0" w:firstLine="0"/>
        <w:jc w:val="both"/>
      </w:pPr>
      <w:r>
        <w:rPr>
          <w:rStyle w:val="CharStyle15"/>
        </w:rPr>
        <w:t>(контрактов):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контракт, предусмотренный частью </w:t>
      </w:r>
      <w:r>
        <w:rPr>
          <w:rStyle w:val="CharStyle15"/>
          <w:lang w:val="en-US" w:eastAsia="en-US"/>
        </w:rPr>
        <w:t xml:space="preserve">16 </w:t>
      </w:r>
      <w:r>
        <w:rPr>
          <w:rStyle w:val="CharStyle15"/>
        </w:rPr>
        <w:t xml:space="preserve">статьи </w:t>
      </w:r>
      <w:r>
        <w:rPr>
          <w:rStyle w:val="CharStyle15"/>
          <w:lang w:val="en-US" w:eastAsia="en-US"/>
        </w:rPr>
        <w:t xml:space="preserve">34 </w:t>
      </w:r>
      <w:r>
        <w:rPr>
          <w:rStyle w:val="CharStyle15"/>
        </w:rPr>
        <w:t>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контракт, предусмотренный частью </w:t>
      </w:r>
      <w:r>
        <w:rPr>
          <w:rStyle w:val="CharStyle15"/>
          <w:lang w:val="en-US" w:eastAsia="en-US"/>
        </w:rPr>
        <w:t xml:space="preserve">16.1 </w:t>
      </w:r>
      <w:r>
        <w:rPr>
          <w:rStyle w:val="CharStyle15"/>
        </w:rPr>
        <w:t xml:space="preserve">статьи </w:t>
      </w:r>
      <w:r>
        <w:rPr>
          <w:rStyle w:val="CharStyle15"/>
          <w:lang w:val="en-US" w:eastAsia="en-US"/>
        </w:rPr>
        <w:t xml:space="preserve">34 </w:t>
      </w:r>
      <w:r>
        <w:rPr>
          <w:rStyle w:val="CharStyle15"/>
        </w:rPr>
        <w:t xml:space="preserve">Федерального закона; контракт, предусмотренный частью </w:t>
      </w:r>
      <w:r>
        <w:rPr>
          <w:rStyle w:val="CharStyle15"/>
          <w:lang w:val="en-US" w:eastAsia="en-US"/>
        </w:rPr>
        <w:t xml:space="preserve">56 </w:t>
      </w:r>
      <w:r>
        <w:rPr>
          <w:rStyle w:val="CharStyle15"/>
        </w:rPr>
        <w:t xml:space="preserve">статьи </w:t>
      </w:r>
      <w:r>
        <w:rPr>
          <w:rStyle w:val="CharStyle15"/>
          <w:lang w:val="en-US" w:eastAsia="en-US"/>
        </w:rPr>
        <w:t xml:space="preserve">112 </w:t>
      </w:r>
      <w:r>
        <w:rPr>
          <w:rStyle w:val="CharStyle15"/>
        </w:rPr>
        <w:t xml:space="preserve">Федерального закона; договор, не относящийся к контрактам, указанным в абзацах втором </w:t>
      </w:r>
      <w:r>
        <w:rPr>
          <w:rStyle w:val="CharStyle15"/>
          <w:lang w:val="en-US" w:eastAsia="en-US"/>
        </w:rPr>
        <w:t xml:space="preserve">- </w:t>
      </w:r>
      <w:r>
        <w:rPr>
          <w:rStyle w:val="CharStyle15"/>
        </w:rPr>
        <w:t>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Заказчиком установлено положение о принятии к оценке исключительно контракта, заключенного и исполненного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4"/>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5"/>
        </w:rPr>
        <w:t xml:space="preserve">К оценке принимаются документы (исполненный договор (договоры), акт (акты приемки)), в том числе если к ним не приложена проектная документация (если проектная документация является приложением к таким документам). Если работы, являющиеся объектом закуски,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документов; предусмотренным приложением </w:t>
      </w:r>
      <w:r>
        <w:rPr>
          <w:rStyle w:val="CharStyle15"/>
          <w:color w:val="0F0F0F"/>
          <w:lang w:val="en-US" w:eastAsia="en-US"/>
        </w:rPr>
        <w:t xml:space="preserve">N </w:t>
      </w:r>
      <w:r>
        <w:rPr>
          <w:rStyle w:val="CharStyle15"/>
          <w:lang w:val="en-US" w:eastAsia="en-US"/>
        </w:rPr>
        <w:t xml:space="preserve">1 </w:t>
      </w:r>
      <w:r>
        <w:rPr>
          <w:rStyle w:val="CharStyle15"/>
        </w:rPr>
        <w:t xml:space="preserve">к Положению, в отношении показателя оценки, предусмотренного подпунктом "в" пункта </w:t>
      </w:r>
      <w:r>
        <w:rPr>
          <w:rStyle w:val="CharStyle15"/>
          <w:lang w:val="en-US" w:eastAsia="en-US"/>
        </w:rPr>
        <w:t xml:space="preserve">24 </w:t>
      </w:r>
      <w:r>
        <w:rPr>
          <w:rStyle w:val="CharStyle15"/>
        </w:rPr>
        <w:t>Положения, его детализирующих показателей может быть установлено положение о принятии к оценке исключительно исполненного договора (договоров), предусматривающего (предусматривающих) выполнение работ,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w:t>
      </w:r>
    </w:p>
    <w:p>
      <w:pPr>
        <w:pStyle w:val="Style14"/>
        <w:keepNext w:val="0"/>
        <w:keepLines w:val="0"/>
        <w:widowControl w:val="0"/>
        <w:numPr>
          <w:ilvl w:val="0"/>
          <w:numId w:val="7"/>
        </w:numPr>
        <w:shd w:val="clear" w:color="auto" w:fill="auto"/>
        <w:tabs>
          <w:tab w:pos="1060" w:val="left"/>
        </w:tabs>
        <w:bidi w:val="0"/>
        <w:spacing w:before="0" w:after="0" w:line="240" w:lineRule="auto"/>
        <w:ind w:left="0" w:right="0" w:firstLine="720"/>
        <w:jc w:val="both"/>
      </w:pPr>
      <w:r>
        <w:rPr>
          <w:rStyle w:val="CharStyle15"/>
        </w:rPr>
        <w:t>Перечень документов, подтверждающих наличие у участника закупки опыта выполнения работ, связанного с предметом договора:</w:t>
      </w:r>
    </w:p>
    <w:p>
      <w:pPr>
        <w:pStyle w:val="Style14"/>
        <w:keepNext w:val="0"/>
        <w:keepLines w:val="0"/>
        <w:widowControl w:val="0"/>
        <w:numPr>
          <w:ilvl w:val="0"/>
          <w:numId w:val="9"/>
        </w:numPr>
        <w:shd w:val="clear" w:color="auto" w:fill="auto"/>
        <w:tabs>
          <w:tab w:pos="985" w:val="left"/>
        </w:tabs>
        <w:bidi w:val="0"/>
        <w:spacing w:before="0" w:after="0" w:line="240" w:lineRule="auto"/>
        <w:ind w:left="0" w:right="0" w:firstLine="720"/>
        <w:jc w:val="both"/>
      </w:pPr>
      <w:r>
        <w:rPr>
          <w:rStyle w:val="CharStyle15"/>
        </w:rPr>
        <w:t>исполненные договора, относящегося к одному или нескольким из следующих договоров (контрактов):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контракт, предусмотренный частью </w:t>
      </w:r>
      <w:r>
        <w:rPr>
          <w:rStyle w:val="CharStyle15"/>
          <w:lang w:val="en-US" w:eastAsia="en-US"/>
        </w:rPr>
        <w:t xml:space="preserve">16 </w:t>
      </w:r>
      <w:r>
        <w:rPr>
          <w:rStyle w:val="CharStyle15"/>
        </w:rPr>
        <w:t xml:space="preserve">статьи </w:t>
      </w:r>
      <w:r>
        <w:rPr>
          <w:rStyle w:val="CharStyle15"/>
          <w:lang w:val="en-US" w:eastAsia="en-US"/>
        </w:rPr>
        <w:t xml:space="preserve">34 </w:t>
      </w:r>
      <w:r>
        <w:rPr>
          <w:rStyle w:val="CharStyle15"/>
        </w:rPr>
        <w:t>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контракт, предусмотренный частью </w:t>
      </w:r>
      <w:r>
        <w:rPr>
          <w:rStyle w:val="CharStyle15"/>
          <w:lang w:val="en-US" w:eastAsia="en-US"/>
        </w:rPr>
        <w:t xml:space="preserve">16.1 </w:t>
      </w:r>
      <w:r>
        <w:rPr>
          <w:rStyle w:val="CharStyle15"/>
        </w:rPr>
        <w:t xml:space="preserve">статьи </w:t>
      </w:r>
      <w:r>
        <w:rPr>
          <w:rStyle w:val="CharStyle15"/>
          <w:lang w:val="en-US" w:eastAsia="en-US"/>
        </w:rPr>
        <w:t xml:space="preserve">34 </w:t>
      </w:r>
      <w:r>
        <w:rPr>
          <w:rStyle w:val="CharStyle15"/>
        </w:rPr>
        <w:t xml:space="preserve">Федерального закона; контракт, предусмотренный частью </w:t>
      </w:r>
      <w:r>
        <w:rPr>
          <w:rStyle w:val="CharStyle15"/>
          <w:lang w:val="en-US" w:eastAsia="en-US"/>
        </w:rPr>
        <w:t xml:space="preserve">56 </w:t>
      </w:r>
      <w:r>
        <w:rPr>
          <w:rStyle w:val="CharStyle15"/>
        </w:rPr>
        <w:t xml:space="preserve">статьи </w:t>
      </w:r>
      <w:r>
        <w:rPr>
          <w:rStyle w:val="CharStyle15"/>
          <w:lang w:val="en-US" w:eastAsia="en-US"/>
        </w:rPr>
        <w:t xml:space="preserve">112 </w:t>
      </w:r>
      <w:r>
        <w:rPr>
          <w:rStyle w:val="CharStyle15"/>
        </w:rPr>
        <w:t>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договор, не относящийся к контрактам, указанным в абзацах втором </w:t>
      </w:r>
      <w:r>
        <w:rPr>
          <w:rStyle w:val="CharStyle15"/>
          <w:lang w:val="en-US" w:eastAsia="en-US"/>
        </w:rPr>
        <w:t xml:space="preserve">- </w:t>
      </w:r>
      <w:r>
        <w:rPr>
          <w:rStyle w:val="CharStyle15"/>
        </w:rPr>
        <w:t>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 </w:t>
      </w:r>
      <w:r>
        <w:rPr>
          <w:rStyle w:val="CharStyle15"/>
        </w:rPr>
        <w:t>документы, подтверждающие исполнение, а именно:</w:t>
      </w:r>
    </w:p>
    <w:p>
      <w:pPr>
        <w:pStyle w:val="Style14"/>
        <w:keepNext w:val="0"/>
        <w:keepLines w:val="0"/>
        <w:widowControl w:val="0"/>
        <w:numPr>
          <w:ilvl w:val="0"/>
          <w:numId w:val="9"/>
        </w:numPr>
        <w:shd w:val="clear" w:color="auto" w:fill="auto"/>
        <w:tabs>
          <w:tab w:pos="985" w:val="left"/>
        </w:tabs>
        <w:bidi w:val="0"/>
        <w:spacing w:before="0" w:after="0" w:line="240" w:lineRule="auto"/>
        <w:ind w:left="0" w:right="0" w:firstLine="720"/>
        <w:jc w:val="both"/>
      </w:pPr>
      <w:r>
        <w:rPr>
          <w:rStyle w:val="CharStyle15"/>
        </w:rPr>
        <w:t>акт (акты) приемки выполненных работ, составленные при исполнении такого договора (договоров).</w:t>
      </w:r>
    </w:p>
    <w:p>
      <w:pPr>
        <w:pStyle w:val="Style14"/>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5"/>
        </w:rPr>
        <w:t xml:space="preserve">Последний акт, составленный при исполнении договора должен быть подписан не ранее чем за </w:t>
      </w:r>
      <w:r>
        <w:rPr>
          <w:rStyle w:val="CharStyle15"/>
          <w:lang w:val="en-US" w:eastAsia="en-US"/>
        </w:rPr>
        <w:t xml:space="preserve">5 </w:t>
      </w:r>
      <w:r>
        <w:rPr>
          <w:rStyle w:val="CharStyle15"/>
        </w:rPr>
        <w:t>лет до даты окончания срока подачи заявок на участие в конкурсе.</w:t>
      </w:r>
    </w:p>
    <w:p>
      <w:pPr>
        <w:pStyle w:val="Style14"/>
        <w:keepNext w:val="0"/>
        <w:keepLines w:val="0"/>
        <w:widowControl w:val="0"/>
        <w:numPr>
          <w:ilvl w:val="0"/>
          <w:numId w:val="7"/>
        </w:numPr>
        <w:shd w:val="clear" w:color="auto" w:fill="auto"/>
        <w:tabs>
          <w:tab w:pos="1757" w:val="left"/>
        </w:tabs>
        <w:bidi w:val="0"/>
        <w:spacing w:before="0" w:after="0" w:line="240" w:lineRule="auto"/>
        <w:ind w:left="0" w:right="0" w:firstLine="720"/>
        <w:jc w:val="both"/>
      </w:pPr>
      <w:r>
        <w:rPr>
          <w:rStyle w:val="CharStyle15"/>
        </w:rPr>
        <w:t>К оценке принимаются исполненные участником закупки с учетом</w:t>
      </w:r>
    </w:p>
    <w:p>
      <w:pPr>
        <w:pStyle w:val="Style14"/>
        <w:keepNext w:val="0"/>
        <w:keepLines w:val="0"/>
        <w:widowControl w:val="0"/>
        <w:shd w:val="clear" w:color="auto" w:fill="auto"/>
        <w:bidi w:val="0"/>
        <w:spacing w:before="0" w:after="0" w:line="240" w:lineRule="auto"/>
        <w:ind w:left="0" w:right="0" w:firstLine="0"/>
        <w:jc w:val="both"/>
      </w:pPr>
      <w:r>
        <w:rPr>
          <w:rStyle w:val="CharStyle15"/>
        </w:rPr>
        <w:t>правопреемства (в случае наличия в заявке подтверждающего документа) гражданско- правовые договоры.</w:t>
      </w:r>
    </w:p>
    <w:p>
      <w:pPr>
        <w:pStyle w:val="Style14"/>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rStyle w:val="CharStyle15"/>
        </w:rPr>
        <w:t xml:space="preserve">К оценке принимаются документы в случае их представления в заявке в полном объеме и со всеми приложениями, за исключением случаев, предусмотренных подпунктом "д" пункта </w:t>
      </w:r>
      <w:r>
        <w:rPr>
          <w:rStyle w:val="CharStyle15"/>
          <w:lang w:val="en-US" w:eastAsia="en-US"/>
        </w:rPr>
        <w:t xml:space="preserve">31 </w:t>
      </w:r>
      <w:r>
        <w:rPr>
          <w:rStyle w:val="CharStyle15"/>
        </w:rPr>
        <w:t xml:space="preserve">Положения об оценке заявок (утв. Постановлением Правительства РФ от </w:t>
      </w:r>
      <w:r>
        <w:rPr>
          <w:rStyle w:val="CharStyle15"/>
          <w:lang w:val="en-US" w:eastAsia="en-US"/>
        </w:rPr>
        <w:t xml:space="preserve">31.12.2021 N 2604), </w:t>
      </w:r>
      <w:r>
        <w:rPr>
          <w:rStyle w:val="CharStyle15"/>
        </w:rPr>
        <w:t xml:space="preserve">а именно к оценке принимаются документы, в том числе если к ним не приложена проектная документация (если проектная документация является приложением к </w:t>
      </w:r>
      <w:r>
        <w:rPr>
          <w:rStyle w:val="CharStyle15"/>
          <w:lang w:val="en-US" w:eastAsia="en-US"/>
        </w:rPr>
        <w:t xml:space="preserve">уaким </w:t>
      </w:r>
      <w:r>
        <w:rPr>
          <w:rStyle w:val="CharStyle15"/>
        </w:rPr>
        <w:t>документам).</w:t>
      </w:r>
    </w:p>
    <w:p>
      <w:pPr>
        <w:pStyle w:val="Style14"/>
        <w:keepNext w:val="0"/>
        <w:keepLines w:val="0"/>
        <w:widowControl w:val="0"/>
        <w:numPr>
          <w:ilvl w:val="0"/>
          <w:numId w:val="7"/>
        </w:numPr>
        <w:shd w:val="clear" w:color="auto" w:fill="auto"/>
        <w:tabs>
          <w:tab w:pos="1047" w:val="left"/>
        </w:tabs>
        <w:bidi w:val="0"/>
        <w:spacing w:before="0" w:after="0" w:line="240" w:lineRule="auto"/>
        <w:ind w:left="0" w:right="0" w:firstLine="720"/>
        <w:jc w:val="both"/>
      </w:pPr>
      <w:r>
        <w:rPr>
          <w:rStyle w:val="CharStyle15"/>
        </w:rPr>
        <w:t xml:space="preserve">Если документы, предусмотренные абзацем третьим подпункта "в" п. </w:t>
      </w:r>
      <w:r>
        <w:rPr>
          <w:rStyle w:val="CharStyle15"/>
          <w:lang w:val="en-US" w:eastAsia="en-US"/>
        </w:rPr>
        <w:t xml:space="preserve">27 </w:t>
      </w:r>
      <w:r>
        <w:rPr>
          <w:rStyle w:val="CharStyle15"/>
        </w:rPr>
        <w:t>Положения,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w:t>
        <w:softHyphen/>
        <w:t>телекоммуникационной сети "Интернет", вместо направления таких документов участник закуски вправе направить номер реестровой записи из соответствующего реестра.</w:t>
      </w:r>
    </w:p>
    <w:p>
      <w:pPr>
        <w:pStyle w:val="Style14"/>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rStyle w:val="CharStyle15"/>
        </w:rPr>
        <w:t>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заседании Комиссии Ивановского УФАС России представители Уполномоченного органа пояснили, что комиссия Уполномоченного органа рассматривала представленные участниками закупки контракты (договоры) в соответствии с установленным в извещении порядком оценки.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Учитывались контракты, заключенные и исполненные по установленным в порядке оценке видам </w:t>
      </w:r>
      <w:r>
        <w:rPr>
          <w:rStyle w:val="CharStyle15"/>
          <w:lang w:val="en-US" w:eastAsia="en-US"/>
        </w:rPr>
        <w:t xml:space="preserve">paбoт </w:t>
      </w:r>
      <w:r>
        <w:rPr>
          <w:rStyle w:val="CharStyle15"/>
        </w:rPr>
        <w:t>и согласно перечню документов, подтверждающих соответствующий опыт. Количество баллов по детализирующим показателям присваивалось и рассчитывалось по формуле, согласно порядку рассмотрения и оценки заявок, на участие в конкурсе.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Порядком оценки не установлено, что к оценке принимается договор на проведение работ по сохранению объектов культурного наследия (памятников истории и культуры) народов Российской Федерации, поскольку объект закупки не является объектом культурного наследия.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 десяти не принятых к оценке договоров, представленных Заявителем (идентификационный номер заявки </w:t>
      </w:r>
      <w:r>
        <w:rPr>
          <w:rStyle w:val="CharStyle15"/>
          <w:lang w:val="en-US" w:eastAsia="en-US"/>
        </w:rPr>
        <w:t>3108540):</w:t>
      </w:r>
    </w:p>
    <w:p>
      <w:pPr>
        <w:pStyle w:val="Style14"/>
        <w:keepNext w:val="0"/>
        <w:keepLines w:val="0"/>
        <w:widowControl w:val="0"/>
        <w:numPr>
          <w:ilvl w:val="0"/>
          <w:numId w:val="11"/>
        </w:numPr>
        <w:shd w:val="clear" w:color="auto" w:fill="auto"/>
        <w:tabs>
          <w:tab w:pos="1004" w:val="left"/>
        </w:tabs>
        <w:bidi w:val="0"/>
        <w:spacing w:before="0" w:after="0" w:line="240" w:lineRule="auto"/>
        <w:ind w:left="0" w:right="0" w:firstLine="720"/>
        <w:jc w:val="both"/>
      </w:pPr>
      <w:r>
        <w:rPr>
          <w:rStyle w:val="CharStyle15"/>
        </w:rPr>
        <w:t xml:space="preserve">по контракту п/п </w:t>
      </w:r>
      <w:r>
        <w:rPr>
          <w:rStyle w:val="CharStyle15"/>
          <w:lang w:val="en-US" w:eastAsia="en-US"/>
        </w:rPr>
        <w:t xml:space="preserve">24 </w:t>
      </w:r>
      <w:r>
        <w:rPr>
          <w:rStyle w:val="CharStyle15"/>
        </w:rPr>
        <w:t xml:space="preserve">представлена реестровая запись по реестру договоров по 223-ФЗ, подтверждающие документы отсутствуют в реестре договоров, предмет договора </w:t>
      </w:r>
      <w:r>
        <w:rPr>
          <w:rStyle w:val="CharStyle15"/>
          <w:lang w:val="en-US" w:eastAsia="en-US"/>
        </w:rPr>
        <w:t xml:space="preserve">– </w:t>
      </w:r>
      <w:r>
        <w:rPr>
          <w:rStyle w:val="CharStyle15"/>
        </w:rPr>
        <w:t xml:space="preserve">«проведение работ (текущий ремонт кровли) по сохранению объекта культурного наследия местного (муниципального) значения «Здание раздаточной конторы. Конец </w:t>
      </w:r>
      <w:r>
        <w:rPr>
          <w:rStyle w:val="CharStyle15"/>
          <w:lang w:val="en-US" w:eastAsia="en-US"/>
        </w:rPr>
        <w:t xml:space="preserve">XIX </w:t>
      </w:r>
      <w:r>
        <w:rPr>
          <w:rStyle w:val="CharStyle15"/>
        </w:rPr>
        <w:t xml:space="preserve">века», расположенного по адресу: Владимирская область, г. Юрьев-Польский, ул.1 Мая, д.54, помещение </w:t>
      </w:r>
      <w:r>
        <w:rPr>
          <w:rStyle w:val="CharStyle15"/>
          <w:lang w:val="en-US" w:eastAsia="en-US"/>
        </w:rPr>
        <w:t>1);</w:t>
      </w:r>
    </w:p>
    <w:p>
      <w:pPr>
        <w:pStyle w:val="Style14"/>
        <w:keepNext w:val="0"/>
        <w:keepLines w:val="0"/>
        <w:widowControl w:val="0"/>
        <w:numPr>
          <w:ilvl w:val="0"/>
          <w:numId w:val="11"/>
        </w:numPr>
        <w:shd w:val="clear" w:color="auto" w:fill="auto"/>
        <w:tabs>
          <w:tab w:pos="1004" w:val="left"/>
        </w:tabs>
        <w:bidi w:val="0"/>
        <w:spacing w:before="0" w:after="0" w:line="240" w:lineRule="auto"/>
        <w:ind w:left="0" w:right="0" w:firstLine="720"/>
        <w:jc w:val="both"/>
      </w:pPr>
      <w:r>
        <w:rPr>
          <w:rStyle w:val="CharStyle15"/>
        </w:rPr>
        <w:t xml:space="preserve">по контракту п/п </w:t>
      </w:r>
      <w:r>
        <w:rPr>
          <w:rStyle w:val="CharStyle15"/>
          <w:lang w:val="en-US" w:eastAsia="en-US"/>
        </w:rPr>
        <w:t xml:space="preserve">46 </w:t>
      </w:r>
      <w:r>
        <w:rPr>
          <w:rStyle w:val="CharStyle15"/>
        </w:rPr>
        <w:t xml:space="preserve">не соответствует предмет договора </w:t>
      </w:r>
      <w:r>
        <w:rPr>
          <w:rStyle w:val="CharStyle15"/>
          <w:lang w:val="en-US" w:eastAsia="en-US"/>
        </w:rPr>
        <w:t xml:space="preserve">– </w:t>
      </w:r>
      <w:r>
        <w:rPr>
          <w:rStyle w:val="CharStyle15"/>
        </w:rPr>
        <w:t xml:space="preserve">«Вьшолнение работ по сохранению объекта культурного наследия регионального значения (памятника истории и культуры) "Дворец искусств (Театральный комплекс)", расположенного по адресу: </w:t>
      </w:r>
      <w:r>
        <w:rPr>
          <w:rStyle w:val="CharStyle15"/>
          <w:lang w:val="en-US" w:eastAsia="en-US"/>
        </w:rPr>
        <w:t xml:space="preserve">153000, </w:t>
      </w:r>
      <w:r>
        <w:rPr>
          <w:rStyle w:val="CharStyle15"/>
        </w:rPr>
        <w:t xml:space="preserve">г. Иваново, пл. Путкина, д. </w:t>
      </w:r>
      <w:r>
        <w:rPr>
          <w:rStyle w:val="CharStyle15"/>
          <w:lang w:val="en-US" w:eastAsia="en-US"/>
        </w:rPr>
        <w:t xml:space="preserve">2 </w:t>
      </w:r>
      <w:r>
        <w:rPr>
          <w:rStyle w:val="CharStyle15"/>
        </w:rPr>
        <w:t xml:space="preserve">(работы по текущему ремонту памятника, проводимые без изменения его особенностей, составляющих предмет охраны </w:t>
      </w:r>
      <w:r>
        <w:rPr>
          <w:rStyle w:val="CharStyle15"/>
          <w:lang w:val="en-US" w:eastAsia="en-US"/>
        </w:rPr>
        <w:t xml:space="preserve">- </w:t>
      </w:r>
      <w:r>
        <w:rPr>
          <w:rStyle w:val="CharStyle15"/>
        </w:rPr>
        <w:t>текущий ремонт части фасада здания с левой стороны, а также входных зон в театральные кассы и служебный вход);</w:t>
      </w:r>
    </w:p>
    <w:p>
      <w:pPr>
        <w:pStyle w:val="Style14"/>
        <w:keepNext w:val="0"/>
        <w:keepLines w:val="0"/>
        <w:widowControl w:val="0"/>
        <w:numPr>
          <w:ilvl w:val="0"/>
          <w:numId w:val="11"/>
        </w:numPr>
        <w:shd w:val="clear" w:color="auto" w:fill="auto"/>
        <w:tabs>
          <w:tab w:pos="1675" w:val="left"/>
        </w:tabs>
        <w:bidi w:val="0"/>
        <w:spacing w:before="0" w:after="0" w:line="240" w:lineRule="auto"/>
        <w:ind w:left="0" w:right="0" w:firstLine="720"/>
        <w:jc w:val="both"/>
      </w:pPr>
      <w:r>
        <w:rPr>
          <w:rStyle w:val="CharStyle15"/>
        </w:rPr>
        <w:t xml:space="preserve">остальные </w:t>
      </w:r>
      <w:r>
        <w:rPr>
          <w:rStyle w:val="CharStyle15"/>
          <w:lang w:val="en-US" w:eastAsia="en-US"/>
        </w:rPr>
        <w:t xml:space="preserve">8 </w:t>
      </w:r>
      <w:r>
        <w:rPr>
          <w:rStyle w:val="CharStyle15"/>
        </w:rPr>
        <w:t>контрактов не приняты к оценке в связи с тем, что их предметом</w:t>
      </w:r>
    </w:p>
    <w:p>
      <w:pPr>
        <w:pStyle w:val="Style14"/>
        <w:keepNext w:val="0"/>
        <w:keepLines w:val="0"/>
        <w:widowControl w:val="0"/>
        <w:shd w:val="clear" w:color="auto" w:fill="auto"/>
        <w:bidi w:val="0"/>
        <w:spacing w:before="0" w:after="0" w:line="240" w:lineRule="auto"/>
        <w:ind w:left="0" w:right="0" w:firstLine="0"/>
        <w:jc w:val="both"/>
      </w:pPr>
      <w:r>
        <w:rPr>
          <w:rStyle w:val="CharStyle15"/>
        </w:rPr>
        <w:t>является выполнение работ по сохранению объектов культурного наследия, а именно:</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выполнение работ по сохранению объекта культурного наследия регионального значения «Дворец искусств (Театральный комплекс)», расположенного по адресу г. Иваново, пл. Пушкина, д. </w:t>
      </w:r>
      <w:r>
        <w:rPr>
          <w:rStyle w:val="CharStyle15"/>
          <w:lang w:val="en-US" w:eastAsia="en-US"/>
        </w:rPr>
        <w:t xml:space="preserve">2 </w:t>
      </w:r>
      <w:r>
        <w:rPr>
          <w:rStyle w:val="CharStyle15"/>
        </w:rPr>
        <w:t xml:space="preserve">в части приспособления объекта для современного использования (капитальный ремонт части кровли здания)» на сумму </w:t>
      </w:r>
      <w:r>
        <w:rPr>
          <w:rStyle w:val="CharStyle15"/>
          <w:lang w:val="en-US" w:eastAsia="en-US"/>
        </w:rPr>
        <w:t xml:space="preserve">19 955 363, 13 </w:t>
      </w:r>
      <w:r>
        <w:rPr>
          <w:rStyle w:val="CharStyle15"/>
        </w:rPr>
        <w:t>рублей;</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выполнение работ по сохранению объекта культурного наследия регионального значения «Дворец искусств (Театральный комплекс)», расположенного по адресу г. Иваново, пл. Пушкина, д. </w:t>
      </w:r>
      <w:r>
        <w:rPr>
          <w:rStyle w:val="CharStyle15"/>
          <w:lang w:val="en-US" w:eastAsia="en-US"/>
        </w:rPr>
        <w:t xml:space="preserve">2 </w:t>
      </w:r>
      <w:r>
        <w:rPr>
          <w:rStyle w:val="CharStyle15"/>
        </w:rPr>
        <w:t xml:space="preserve">в части приспособления объекта для современного использования (капитальный ремонт кровли здания) на сумму </w:t>
      </w:r>
      <w:r>
        <w:rPr>
          <w:rStyle w:val="CharStyle15"/>
          <w:lang w:val="en-US" w:eastAsia="en-US"/>
        </w:rPr>
        <w:t xml:space="preserve">3 098 071, 21 </w:t>
      </w:r>
      <w:r>
        <w:rPr>
          <w:rStyle w:val="CharStyle15"/>
        </w:rPr>
        <w:t>рублей;</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выполнение работ по сохранению объекта культурного наследия регионального значения «Дворец искусств (Театральный комплекс)», расположенного по адресу: г. Иваново, пл. Пушкина, д. </w:t>
      </w:r>
      <w:r>
        <w:rPr>
          <w:rStyle w:val="CharStyle15"/>
          <w:lang w:val="en-US" w:eastAsia="en-US"/>
        </w:rPr>
        <w:t xml:space="preserve">2 </w:t>
      </w:r>
      <w:r>
        <w:rPr>
          <w:rStyle w:val="CharStyle15"/>
        </w:rPr>
        <w:t xml:space="preserve">в части приспособления объекта для современного использования (капитальный ремонт кровли) на сумму </w:t>
      </w:r>
      <w:r>
        <w:rPr>
          <w:rStyle w:val="CharStyle15"/>
          <w:lang w:val="en-US" w:eastAsia="en-US"/>
        </w:rPr>
        <w:t xml:space="preserve">21 827 330, 00 </w:t>
      </w:r>
      <w:r>
        <w:rPr>
          <w:rStyle w:val="CharStyle15"/>
        </w:rPr>
        <w:t>рублей;</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выполнение работ по сохранению объекта культурного наследия регионального значения «Дворец искусств (Театральный комплекс)», расположенного по адресу: г. Иваново, пл. Пушкина, д. </w:t>
      </w:r>
      <w:r>
        <w:rPr>
          <w:rStyle w:val="CharStyle15"/>
          <w:lang w:val="en-US" w:eastAsia="en-US"/>
        </w:rPr>
        <w:t xml:space="preserve">2 </w:t>
      </w:r>
      <w:r>
        <w:rPr>
          <w:rStyle w:val="CharStyle15"/>
        </w:rPr>
        <w:t xml:space="preserve">в части приспособления объекта для современного использования (капитальный ремонт кровли) на сумму </w:t>
      </w:r>
      <w:r>
        <w:rPr>
          <w:rStyle w:val="CharStyle15"/>
          <w:lang w:val="en-US" w:eastAsia="en-US"/>
        </w:rPr>
        <w:t xml:space="preserve">3 568 000 </w:t>
      </w:r>
      <w:r>
        <w:rPr>
          <w:rStyle w:val="CharStyle15"/>
        </w:rPr>
        <w:t>рублей;</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проведение работ по сохранению (капитальный ремонт кровли и части чердачных перекрытий здания) выявленного объекта культурного наследия "Восьмилетняя школа </w:t>
      </w:r>
      <w:r>
        <w:rPr>
          <w:rStyle w:val="CharStyle15"/>
          <w:lang w:val="en-US" w:eastAsia="en-US"/>
        </w:rPr>
        <w:t xml:space="preserve">№51, </w:t>
      </w:r>
      <w:r>
        <w:rPr>
          <w:rStyle w:val="CharStyle15"/>
        </w:rPr>
        <w:t xml:space="preserve">в которой в 1930-1933гг. Учился герой Советского Союза Г.П. Александров", расположенного по адресу: г. Иваново, ул. 7-я Завокзальная, дом </w:t>
      </w:r>
      <w:r>
        <w:rPr>
          <w:rStyle w:val="CharStyle15"/>
          <w:lang w:val="en-US" w:eastAsia="en-US"/>
        </w:rPr>
        <w:t>№2;</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выполнение работ по сохранению объекта культурного наследия регионального значения «Дворец искусств (Театральный комплекс)», расположенного по адресу: г. Иваново, пл. Пушкина, д. </w:t>
      </w:r>
      <w:r>
        <w:rPr>
          <w:rStyle w:val="CharStyle15"/>
          <w:lang w:val="en-US" w:eastAsia="en-US"/>
        </w:rPr>
        <w:t xml:space="preserve">2 </w:t>
      </w:r>
      <w:r>
        <w:rPr>
          <w:rStyle w:val="CharStyle15"/>
        </w:rPr>
        <w:t xml:space="preserve">в части приспособления объекта для современного использования (капитальный ремонт кровли) на сумму </w:t>
      </w:r>
      <w:r>
        <w:rPr>
          <w:rStyle w:val="CharStyle15"/>
          <w:lang w:val="en-US" w:eastAsia="en-US"/>
        </w:rPr>
        <w:t xml:space="preserve">5 275 271, 94 </w:t>
      </w:r>
      <w:r>
        <w:rPr>
          <w:rStyle w:val="CharStyle15"/>
        </w:rPr>
        <w:t>рублей;</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выполнение работ по сохранению объекта культурного наследия регионального значения «Дворец искусств (Театральный комплекс)», расположенного по адресу: г. Иваново, пл. Пушкина, д. </w:t>
      </w:r>
      <w:r>
        <w:rPr>
          <w:rStyle w:val="CharStyle15"/>
          <w:lang w:val="en-US" w:eastAsia="en-US"/>
        </w:rPr>
        <w:t xml:space="preserve">2 </w:t>
      </w:r>
      <w:r>
        <w:rPr>
          <w:rStyle w:val="CharStyle15"/>
        </w:rPr>
        <w:t xml:space="preserve">в части приспособления объекта для современного исполъзования (капитальный ремонт системы отопления.) на сумму </w:t>
      </w:r>
      <w:r>
        <w:rPr>
          <w:rStyle w:val="CharStyle15"/>
          <w:lang w:val="en-US" w:eastAsia="en-US"/>
        </w:rPr>
        <w:t xml:space="preserve">10 464 245, 17 </w:t>
      </w:r>
      <w:r>
        <w:rPr>
          <w:rStyle w:val="CharStyle15"/>
        </w:rPr>
        <w:t>рублей;</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 xml:space="preserve">проведение работ по сохранению объекта культурного наследия регионального значения «Архитектурный ансамбль больницы имени Куваевых, </w:t>
      </w:r>
      <w:r>
        <w:rPr>
          <w:rStyle w:val="CharStyle15"/>
          <w:lang w:val="en-US" w:eastAsia="en-US"/>
        </w:rPr>
        <w:t xml:space="preserve">1910 </w:t>
      </w:r>
      <w:r>
        <w:rPr>
          <w:rStyle w:val="CharStyle15"/>
        </w:rPr>
        <w:t xml:space="preserve">г.: Главный корпус больницы, </w:t>
      </w:r>
      <w:r>
        <w:rPr>
          <w:rStyle w:val="CharStyle15"/>
          <w:lang w:val="en-US" w:eastAsia="en-US"/>
        </w:rPr>
        <w:t xml:space="preserve">1910 </w:t>
      </w:r>
      <w:r>
        <w:rPr>
          <w:rStyle w:val="CharStyle15"/>
        </w:rPr>
        <w:t xml:space="preserve">г., Дом врачей, </w:t>
      </w:r>
      <w:r>
        <w:rPr>
          <w:rStyle w:val="CharStyle15"/>
          <w:lang w:val="en-US" w:eastAsia="en-US"/>
        </w:rPr>
        <w:t xml:space="preserve">1910 </w:t>
      </w:r>
      <w:r>
        <w:rPr>
          <w:rStyle w:val="CharStyle15"/>
        </w:rPr>
        <w:t xml:space="preserve">г.; Ограда с калитками и воротами, </w:t>
      </w:r>
      <w:r>
        <w:rPr>
          <w:rStyle w:val="CharStyle15"/>
          <w:lang w:val="en-US" w:eastAsia="en-US"/>
        </w:rPr>
        <w:t xml:space="preserve">1910 </w:t>
      </w:r>
      <w:r>
        <w:rPr>
          <w:rStyle w:val="CharStyle15"/>
        </w:rPr>
        <w:t>г.», расположенного по адресу: г. Иваново, ул. Ермака, д.52/2 (лит. А, В) в части приспособления для современного использования (устройство больничного лифта), в рамках капитального ремонта.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обоснование своей позиции Уполномоченный орган привел следующие доводы.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Федеральным законом «Об объектах культурного наследия (памятниках истории и культуры) народов Российской Федерации» от </w:t>
      </w:r>
      <w:r>
        <w:rPr>
          <w:rStyle w:val="CharStyle15"/>
          <w:lang w:val="en-US" w:eastAsia="en-US"/>
        </w:rPr>
        <w:t xml:space="preserve">25.06.2002 №73- </w:t>
      </w:r>
      <w:r>
        <w:rPr>
          <w:rStyle w:val="CharStyle15"/>
        </w:rPr>
        <w:t xml:space="preserve">ФЗ сохранение объекта культурного наследия </w:t>
      </w:r>
      <w:r>
        <w:rPr>
          <w:rStyle w:val="CharStyle15"/>
          <w:color w:val="161616"/>
          <w:lang w:val="en-US" w:eastAsia="en-US"/>
        </w:rPr>
        <w:t xml:space="preserve">- </w:t>
      </w:r>
      <w:r>
        <w:rPr>
          <w:rStyle w:val="CharStyle15"/>
        </w:rPr>
        <w:t>это комплекс мер, направленных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w:t>
      </w:r>
    </w:p>
    <w:p>
      <w:pPr>
        <w:pStyle w:val="Style14"/>
        <w:keepNext w:val="0"/>
        <w:keepLines w:val="0"/>
        <w:widowControl w:val="0"/>
        <w:shd w:val="clear" w:color="auto" w:fill="auto"/>
        <w:bidi w:val="0"/>
        <w:spacing w:before="0" w:after="0" w:line="240" w:lineRule="auto"/>
        <w:ind w:left="0" w:right="0" w:firstLine="0"/>
        <w:jc w:val="both"/>
      </w:pPr>
      <w:r>
        <w:rPr>
          <w:rStyle w:val="CharStyle15"/>
        </w:rPr>
        <w:t>сохранению объекта культурного наследия, технический и авторский надзор за проведением этих работ.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п.1.2 указанных контрактов раскрывается предмет контракта и виды работ, направленные на сохранение объекта культурного наследия, в том числе ремонт памятника, приспособление объекта культурного наследия для современного использования, а также научно-исследовательские, изыскательские, проектные и производственные работы, научное руководство, технический и авторский надзор».</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Технические заданием к контрактам установлено, что «Выполнение работ на Объекте должно проводиться в строгом соответствии с требованиями Федерального закона от </w:t>
      </w:r>
      <w:r>
        <w:rPr>
          <w:rStyle w:val="CharStyle15"/>
          <w:lang w:val="en-US" w:eastAsia="en-US"/>
        </w:rPr>
        <w:t xml:space="preserve">25.06.2002 </w:t>
      </w:r>
      <w:r>
        <w:rPr>
          <w:rStyle w:val="CharStyle15"/>
        </w:rPr>
        <w:t xml:space="preserve">г. №73-ФЗ «Об объектах культурного наследия (памятниках истории и культуры) народов Российской Федерации», Закона Ивановской области от </w:t>
      </w:r>
      <w:r>
        <w:rPr>
          <w:rStyle w:val="CharStyle15"/>
          <w:lang w:val="en-US" w:eastAsia="en-US"/>
        </w:rPr>
        <w:t xml:space="preserve">13.07.2007 №105-03 </w:t>
      </w:r>
      <w:r>
        <w:rPr>
          <w:rStyle w:val="CharStyle15"/>
        </w:rPr>
        <w:t>"Об объектах культурного наследия (памятниках истории и культуры) в Ивановской области", иными нормативными правовыми актами в сфере охраны объектов культурного наследия, действующими на территории Российской Федерации и Ивановской области.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Работы должны производиться в соответствии с действующими на территории Российской Федерации </w:t>
      </w:r>
      <w:r>
        <w:rPr>
          <w:rStyle w:val="CharStyle15"/>
          <w:color w:val="0F0F0F"/>
        </w:rPr>
        <w:t xml:space="preserve">и </w:t>
      </w:r>
      <w:r>
        <w:rPr>
          <w:rStyle w:val="CharStyle15"/>
        </w:rPr>
        <w:t>Ивановской области нормативными правовыми актами в сфере охраны объектов культурного наследия с осуществлением авторского надзора. Работы должны производиться, исходя из принципа максимального сохранения подлинные конструкций здания в соответствии с материалами обследования».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соответствии с контрактами подрядчик обязуется:</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«Выполнять работы в соответствии с утвержденной научно-проектной документацией, действующими реставрационными нормами и правилами, техническими условиями, технологическими регламентами»;</w:t>
      </w:r>
    </w:p>
    <w:p>
      <w:pPr>
        <w:pStyle w:val="Style14"/>
        <w:keepNext w:val="0"/>
        <w:keepLines w:val="0"/>
        <w:widowControl w:val="0"/>
        <w:numPr>
          <w:ilvl w:val="0"/>
          <w:numId w:val="11"/>
        </w:numPr>
        <w:shd w:val="clear" w:color="auto" w:fill="auto"/>
        <w:tabs>
          <w:tab w:pos="955" w:val="left"/>
        </w:tabs>
        <w:bidi w:val="0"/>
        <w:spacing w:before="0" w:after="0" w:line="240" w:lineRule="auto"/>
        <w:ind w:left="0" w:right="0" w:firstLine="720"/>
        <w:jc w:val="both"/>
      </w:pPr>
      <w:r>
        <w:rPr>
          <w:rStyle w:val="CharStyle15"/>
        </w:rPr>
        <w:t>«Работы по настоящему Контракту проводятся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соответствии с контрактами объемы затрат на осуществление научного руководства и авторского надзора включают в себя: присутствие специалистов непосредственно на объекте, консультации в части научно-проектной документации для Подрядчика, решение необходимых вопросов, возникающих в процессе проведения работ по сохранению объекта, участие в совещаниях, комиссиях по освидетельствованию и приемке работ, подписание актов на скрытые работы, оформление исполнительной документации, заполнение журнала научного руководства и авторского надзора, составление научно-реставрационного отчета.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при проведении работ по сохранению объектов культурного наследия предусмотрен особый порядок.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Для разработки сметной документации на работы по сохранению объектов культурного наследия Приказом Минстроя России от </w:t>
      </w:r>
      <w:r>
        <w:rPr>
          <w:rStyle w:val="CharStyle15"/>
          <w:lang w:val="en-US" w:eastAsia="en-US"/>
        </w:rPr>
        <w:t xml:space="preserve">04.08.2020 № </w:t>
      </w:r>
      <w:r>
        <w:rPr>
          <w:rStyle w:val="CharStyle15"/>
        </w:rPr>
        <w:t xml:space="preserve">421/пр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установлены особенности определения сметной стоимости работ по сохранению объектов культурного наследия в соответствии с которыми используются специализированные реставрационные сборники (СЦНПР-91, </w:t>
      </w:r>
      <w:r>
        <w:rPr>
          <w:rStyle w:val="CharStyle15"/>
          <w:lang w:val="en-US" w:eastAsia="en-US"/>
        </w:rPr>
        <w:t xml:space="preserve">CCH-84) </w:t>
      </w:r>
      <w:r>
        <w:rPr>
          <w:rStyle w:val="CharStyle15"/>
        </w:rPr>
        <w:t>или федеральные (ФЭР), территориальные (ТЭР) расценки с применением повышающих коэффициентов на реставрационный методы работы.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работах на объектах культурного наследия применяются повышенные коэффициенты к затратам труда и заработной плате, учитывающие сложность, уникальность и необходимость сохранения исторических элементов.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сопоставлять и приравнивать виды работ по сметной документации на капитальный ремонт объектов капитального строительства и сохранению объектов культурного наследия и соответственно выделить из смет на сохранение объектов культурного наследия стоимость только работ по капитальному ремонту невозможно.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Как пояснили представители ООО «СПК» на заседании Комиссии Ивановского УФАС России, стоимость работ на объектах культурного наследия не завышается и соответствует обычной стоимости работ по капитальному ремонту, из локально-сметных расчетов и других документов об исполнении контрактов можно установить виды работ по капитальному ремонту объекта культурного наследия.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Ивановского УФАС России не может согласиться с позицией Уполномоченного органа и считает, что восемь контрактов по выполнению работ по сохранению объекта культурного наследия, представленные Заявителем, должны были быть оценены комиссией Уполномоченного органа, так как их предметом является капитальный ремонт объекта капитального строительства (объекта культурного наследия). Представленные Заявителем спорные контракты по выполнению работ по сохранению объекта культурного наследия (капитальный ремонт), по сути, являются контрактами по выполнению капитального ремонта на объектах культурного наследия и, соответственно, соотносятся с предметом проводимого конкурса.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Комиссия Ивановского УФАС России, проанализировав содержание работ в рамках спорных восьми контрактов, считает, что Уполномоченным органом, в нарушение порядка рассмотрения и оценки заявок на участие в конкурсе, неправомерно не были приняты к рассмотрению контракты (договоры) Заявителя, предметом закупки которых являлись работы по капитальному ремонту объектов капитального строительства (объектов культурного наследия), что нарушает пп. «б» п. </w:t>
      </w:r>
      <w:r>
        <w:rPr>
          <w:rStyle w:val="CharStyle15"/>
          <w:lang w:val="en-US" w:eastAsia="en-US"/>
        </w:rPr>
        <w:t xml:space="preserve">1 </w:t>
      </w:r>
      <w:r>
        <w:rPr>
          <w:rStyle w:val="CharStyle15"/>
        </w:rPr>
        <w:t xml:space="preserve">ч. </w:t>
      </w:r>
      <w:r>
        <w:rPr>
          <w:rStyle w:val="CharStyle15"/>
          <w:lang w:val="en-US" w:eastAsia="en-US"/>
        </w:rPr>
        <w:t xml:space="preserve">11 </w:t>
      </w:r>
      <w:r>
        <w:rPr>
          <w:rStyle w:val="CharStyle15"/>
        </w:rPr>
        <w:t>ст.48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Уполномоченный орган не представил каких-либо доказательств, свидетельствующих о том, что стоимость работ, проведенных по рассматриваемым восьми контрактам, завышена и не соответствует обычной стоимости работ по капитальному ремонту объектов капитального строительства, не являющихся объектами культурного наследия.</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Учитывая изложенное, а также тот факт, что выявленное нарушение Заказчиком Закона о контрактной системе свидетельствует о наличии признаков состава административного правонарушения, предусмотренного ч.7 ст.7.30.1 Кодекса Российской Федерации об административных правонарушениях, руководствуясь частью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статьей </w:t>
      </w:r>
      <w:r>
        <w:rPr>
          <w:rStyle w:val="CharStyle15"/>
          <w:lang w:val="en-US" w:eastAsia="en-US"/>
        </w:rPr>
        <w:t xml:space="preserve">106 </w:t>
      </w:r>
      <w:r>
        <w:rPr>
          <w:rStyle w:val="CharStyle15"/>
        </w:rPr>
        <w:t>Закона о контрактной системе Комиссия Ивановского УФАС России</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 Е Ш И Л А:</w:t>
      </w:r>
    </w:p>
    <w:p>
      <w:pPr>
        <w:pStyle w:val="Style14"/>
        <w:keepNext w:val="0"/>
        <w:keepLines w:val="0"/>
        <w:widowControl w:val="0"/>
        <w:numPr>
          <w:ilvl w:val="0"/>
          <w:numId w:val="13"/>
        </w:numPr>
        <w:shd w:val="clear" w:color="auto" w:fill="auto"/>
        <w:tabs>
          <w:tab w:pos="1416" w:val="left"/>
        </w:tabs>
        <w:bidi w:val="0"/>
        <w:spacing w:before="0" w:after="260" w:line="240" w:lineRule="auto"/>
        <w:ind w:left="0" w:right="0" w:firstLine="720"/>
        <w:jc w:val="both"/>
      </w:pPr>
      <w:r>
        <w:rPr>
          <w:rStyle w:val="CharStyle15"/>
        </w:rPr>
        <w:t xml:space="preserve">Признать жалобу ООО "СПК" на действия комиссии Департамента конкурсов и аукционов Ивановской области при проведении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 xml:space="preserve">Закона </w:t>
      </w:r>
      <w:r>
        <w:rPr>
          <w:rStyle w:val="CharStyle15"/>
          <w:lang w:val="en-US" w:eastAsia="en-US"/>
        </w:rPr>
        <w:t xml:space="preserve">№ </w:t>
      </w:r>
      <w:r>
        <w:rPr>
          <w:rStyle w:val="CharStyle15"/>
        </w:rPr>
        <w:t xml:space="preserve">44-ФЗ на проведение работ по капитальному ремонту кровли здания МБОУ Новогоряновская СОШ (извещение </w:t>
      </w:r>
      <w:r>
        <w:rPr>
          <w:rStyle w:val="CharStyle15"/>
          <w:lang w:val="en-US" w:eastAsia="en-US"/>
        </w:rPr>
        <w:t xml:space="preserve">№ 0133200001726000568) </w:t>
      </w:r>
      <w:r>
        <w:rPr>
          <w:rStyle w:val="CharStyle15"/>
        </w:rPr>
        <w:t>обоснованной.</w:t>
      </w:r>
      <w:r>
        <w:br w:type="page"/>
      </w:r>
    </w:p>
    <w:p>
      <w:pPr>
        <w:pStyle w:val="Style14"/>
        <w:keepNext w:val="0"/>
        <w:keepLines w:val="0"/>
        <w:widowControl w:val="0"/>
        <w:numPr>
          <w:ilvl w:val="0"/>
          <w:numId w:val="13"/>
        </w:numPr>
        <w:shd w:val="clear" w:color="auto" w:fill="auto"/>
        <w:tabs>
          <w:tab w:pos="1416" w:val="left"/>
        </w:tabs>
        <w:bidi w:val="0"/>
        <w:spacing w:before="0" w:after="0" w:line="240" w:lineRule="auto"/>
        <w:ind w:left="0" w:right="0" w:firstLine="720"/>
        <w:jc w:val="left"/>
      </w:pPr>
      <w:r>
        <w:rPr>
          <w:rStyle w:val="CharStyle15"/>
        </w:rPr>
        <w:t xml:space="preserve">Установить в действиях комиссии Департамента конкурсов и аукционов Ивановской области нарушение пп. «б» п. </w:t>
      </w:r>
      <w:r>
        <w:rPr>
          <w:rStyle w:val="CharStyle15"/>
          <w:lang w:val="en-US" w:eastAsia="en-US"/>
        </w:rPr>
        <w:t xml:space="preserve">1 </w:t>
      </w:r>
      <w:r>
        <w:rPr>
          <w:rStyle w:val="CharStyle15"/>
        </w:rPr>
        <w:t xml:space="preserve">ч. </w:t>
      </w:r>
      <w:r>
        <w:rPr>
          <w:rStyle w:val="CharStyle15"/>
          <w:lang w:val="en-US" w:eastAsia="en-US"/>
        </w:rPr>
        <w:t xml:space="preserve">11 </w:t>
      </w:r>
      <w:r>
        <w:rPr>
          <w:rStyle w:val="CharStyle15"/>
        </w:rPr>
        <w:t>ст.48 Закона о контрактной системе.</w:t>
      </w:r>
    </w:p>
    <w:p>
      <w:pPr>
        <w:pStyle w:val="Style14"/>
        <w:keepNext w:val="0"/>
        <w:keepLines w:val="0"/>
        <w:widowControl w:val="0"/>
        <w:numPr>
          <w:ilvl w:val="0"/>
          <w:numId w:val="13"/>
        </w:numPr>
        <w:shd w:val="clear" w:color="auto" w:fill="auto"/>
        <w:tabs>
          <w:tab w:pos="1416" w:val="left"/>
        </w:tabs>
        <w:bidi w:val="0"/>
        <w:spacing w:before="0" w:after="0" w:line="240" w:lineRule="auto"/>
        <w:ind w:left="0" w:right="0" w:firstLine="720"/>
        <w:jc w:val="left"/>
      </w:pPr>
      <w:r>
        <w:rPr>
          <w:rStyle w:val="CharStyle15"/>
        </w:rPr>
        <w:t>Выдать предписание об устранении нарушения законодательства о контрактной системе.</w:t>
      </w:r>
    </w:p>
    <w:p>
      <w:pPr>
        <w:pStyle w:val="Style14"/>
        <w:keepNext w:val="0"/>
        <w:keepLines w:val="0"/>
        <w:widowControl w:val="0"/>
        <w:numPr>
          <w:ilvl w:val="0"/>
          <w:numId w:val="13"/>
        </w:numPr>
        <w:shd w:val="clear" w:color="auto" w:fill="auto"/>
        <w:tabs>
          <w:tab w:pos="1416" w:val="left"/>
        </w:tabs>
        <w:bidi w:val="0"/>
        <w:spacing w:before="0" w:after="260" w:line="240" w:lineRule="auto"/>
        <w:ind w:left="0" w:right="0" w:firstLine="720"/>
        <w:jc w:val="left"/>
      </w:pPr>
      <w:r>
        <w:rPr>
          <w:rStyle w:val="CharStyle15"/>
        </w:rPr>
        <w:t>Передать материалы настоящей жалобы уполномоченному должностному лицу Ивановского УФАС России для принятия решения в соответствии с КоАП РФ.</w:t>
      </w:r>
    </w:p>
    <w:p>
      <w:pPr>
        <w:pStyle w:val="Style14"/>
        <w:keepNext w:val="0"/>
        <w:keepLines w:val="0"/>
        <w:widowControl w:val="0"/>
        <w:shd w:val="clear" w:color="auto" w:fill="auto"/>
        <w:bidi w:val="0"/>
        <w:spacing w:before="0" w:after="800" w:line="240" w:lineRule="auto"/>
        <w:ind w:left="0" w:right="0" w:firstLine="720"/>
        <w:jc w:val="left"/>
      </w:pPr>
      <w:r>
        <w:rPr>
          <w:rStyle w:val="CharStyle15"/>
        </w:rPr>
        <w:t>Решение может быть обжаловано в судебном порядке в течение трех месяцев с даты его принятия.</w:t>
      </w:r>
    </w:p>
    <w:p>
      <w:pPr>
        <w:pStyle w:val="Style18"/>
        <w:keepNext w:val="0"/>
        <w:keepLines w:val="0"/>
        <w:widowControl w:val="0"/>
        <w:shd w:val="clear" w:color="auto" w:fill="auto"/>
        <w:bidi w:val="0"/>
        <w:spacing w:before="0" w:after="0" w:line="240" w:lineRule="auto"/>
        <w:ind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widowControl w:val="0"/>
        <w:spacing w:line="1" w:lineRule="exact"/>
        <w:sectPr>
          <w:footnotePr>
            <w:pos w:val="pageBottom"/>
            <w:numFmt w:val="decimal"/>
            <w:numRestart w:val="continuous"/>
          </w:footnotePr>
          <w:type w:val="continuous"/>
          <w:pgSz w:w="11900" w:h="16840"/>
          <w:pgMar w:top="299" w:right="535" w:bottom="1173" w:left="1098" w:header="0" w:footer="3" w:gutter="0"/>
          <w:cols w:space="720"/>
          <w:noEndnote/>
          <w:rtlGutter w:val="0"/>
          <w:docGrid w:linePitch="360"/>
        </w:sectPr>
      </w:pPr>
      <w:r>
        <mc:AlternateContent>
          <mc:Choice Requires="wps">
            <w:drawing>
              <wp:anchor distT="0" distB="0" distL="0" distR="0" simplePos="0" relativeHeight="125829378" behindDoc="0" locked="0" layoutInCell="1" allowOverlap="1">
                <wp:simplePos x="0" y="0"/>
                <wp:positionH relativeFrom="page">
                  <wp:posOffset>736600</wp:posOffset>
                </wp:positionH>
                <wp:positionV relativeFrom="paragraph">
                  <wp:posOffset>0</wp:posOffset>
                </wp:positionV>
                <wp:extent cx="1941830" cy="737870"/>
                <wp:wrapTopAndBottom/>
                <wp:docPr id="6" name="Shape 6"/>
                <a:graphic xmlns:a="http://schemas.openxmlformats.org/drawingml/2006/main">
                  <a:graphicData uri="http://schemas.microsoft.com/office/word/2010/wordprocessingShape">
                    <wps:wsp>
                      <wps:cNvSpPr txBox="1"/>
                      <wps:spPr>
                        <a:xfrm>
                          <a:ext cx="1941830" cy="737870"/>
                        </a:xfrm>
                        <a:prstGeom prst="rect"/>
                        <a:noFill/>
                      </wps:spPr>
                      <wps:txbx>
                        <w:txbxContent>
                          <w:p>
                            <w:pPr>
                              <w:pStyle w:val="Style14"/>
                              <w:keepNext w:val="0"/>
                              <w:keepLines w:val="0"/>
                              <w:widowControl w:val="0"/>
                              <w:shd w:val="clear" w:color="auto" w:fill="auto"/>
                              <w:bidi w:val="0"/>
                              <w:spacing w:before="0" w:after="380" w:line="240" w:lineRule="auto"/>
                              <w:ind w:left="0" w:right="0" w:firstLine="0"/>
                              <w:jc w:val="left"/>
                              <w:rPr>
                                <w:sz w:val="28"/>
                                <w:szCs w:val="28"/>
                              </w:rPr>
                            </w:pPr>
                            <w:r>
                              <w:rPr>
                                <w:rStyle w:val="CharStyle15"/>
                                <w:b/>
                                <w:bCs/>
                                <w:sz w:val="28"/>
                                <w:szCs w:val="28"/>
                              </w:rPr>
                              <w:t>Председатель комиссии</w:t>
                            </w:r>
                          </w:p>
                          <w:p>
                            <w:pPr>
                              <w:pStyle w:val="Style12"/>
                              <w:keepNext/>
                              <w:keepLines/>
                              <w:widowControl w:val="0"/>
                              <w:shd w:val="clear" w:color="auto" w:fill="auto"/>
                              <w:bidi w:val="0"/>
                              <w:spacing w:before="0" w:after="0" w:line="240" w:lineRule="auto"/>
                              <w:ind w:left="0" w:right="0" w:firstLine="0"/>
                              <w:jc w:val="left"/>
                            </w:pPr>
                            <w:bookmarkStart w:id="11" w:name="bookmark11"/>
                            <w:r>
                              <w:rPr>
                                <w:rStyle w:val="CharStyle13"/>
                                <w:b/>
                                <w:bCs/>
                              </w:rPr>
                              <w:t>Члены комиссии:</w:t>
                            </w:r>
                            <w:bookmarkEnd w:id="11"/>
                          </w:p>
                        </w:txbxContent>
                      </wps:txbx>
                      <wps:bodyPr lIns="0" tIns="0" rIns="0" bIns="0">
                        <a:noAutoFit/>
                      </wps:bodyPr>
                    </wps:wsp>
                  </a:graphicData>
                </a:graphic>
              </wp:anchor>
            </w:drawing>
          </mc:Choice>
          <mc:Fallback>
            <w:pict>
              <v:shape id="_x0000_s1032" type="#_x0000_t202" style="position:absolute;margin-left:58.pt;margin-top:0;width:152.90000000000001pt;height:58.100000000000001pt;z-index:-125829375;mso-wrap-distance-left:0;mso-wrap-distance-right:0;mso-position-horizontal-relative:page" filled="f" stroked="f">
                <v:textbox inset="0,0,0,0">
                  <w:txbxContent>
                    <w:p>
                      <w:pPr>
                        <w:pStyle w:val="Style14"/>
                        <w:keepNext w:val="0"/>
                        <w:keepLines w:val="0"/>
                        <w:widowControl w:val="0"/>
                        <w:shd w:val="clear" w:color="auto" w:fill="auto"/>
                        <w:bidi w:val="0"/>
                        <w:spacing w:before="0" w:after="380" w:line="240" w:lineRule="auto"/>
                        <w:ind w:left="0" w:right="0" w:firstLine="0"/>
                        <w:jc w:val="left"/>
                        <w:rPr>
                          <w:sz w:val="28"/>
                          <w:szCs w:val="28"/>
                        </w:rPr>
                      </w:pPr>
                      <w:r>
                        <w:rPr>
                          <w:rStyle w:val="CharStyle15"/>
                          <w:b/>
                          <w:bCs/>
                          <w:sz w:val="28"/>
                          <w:szCs w:val="28"/>
                        </w:rPr>
                        <w:t>Председатель комиссии</w:t>
                      </w:r>
                    </w:p>
                    <w:p>
                      <w:pPr>
                        <w:pStyle w:val="Style12"/>
                        <w:keepNext/>
                        <w:keepLines/>
                        <w:widowControl w:val="0"/>
                        <w:shd w:val="clear" w:color="auto" w:fill="auto"/>
                        <w:bidi w:val="0"/>
                        <w:spacing w:before="0" w:after="0" w:line="240" w:lineRule="auto"/>
                        <w:ind w:left="0" w:right="0" w:firstLine="0"/>
                        <w:jc w:val="left"/>
                      </w:pPr>
                      <w:bookmarkStart w:id="11" w:name="bookmark11"/>
                      <w:r>
                        <w:rPr>
                          <w:rStyle w:val="CharStyle13"/>
                          <w:b/>
                          <w:bCs/>
                        </w:rPr>
                        <w:t>Члены комиссии:</w:t>
                      </w:r>
                      <w:bookmarkEnd w:id="11"/>
                    </w:p>
                  </w:txbxContent>
                </v:textbox>
                <w10:wrap type="topAndBottom" anchorx="page"/>
              </v:shape>
            </w:pict>
          </mc:Fallback>
        </mc:AlternateContent>
      </w:r>
      <w:r>
        <mc:AlternateContent>
          <mc:Choice Requires="wps">
            <w:drawing>
              <wp:anchor distT="54610" distB="582930" distL="0" distR="0" simplePos="0" relativeHeight="125829380" behindDoc="0" locked="0" layoutInCell="1" allowOverlap="1">
                <wp:simplePos x="0" y="0"/>
                <wp:positionH relativeFrom="page">
                  <wp:posOffset>3205480</wp:posOffset>
                </wp:positionH>
                <wp:positionV relativeFrom="paragraph">
                  <wp:posOffset>54610</wp:posOffset>
                </wp:positionV>
                <wp:extent cx="1283335" cy="100330"/>
                <wp:wrapTopAndBottom/>
                <wp:docPr id="8" name="Shape 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wrap="none" lIns="0" tIns="0" rIns="0" bIns="0">
                        <a:noAutoFit/>
                      </wps:bodyPr>
                    </wps:wsp>
                  </a:graphicData>
                </a:graphic>
              </wp:anchor>
            </w:drawing>
          </mc:Choice>
          <mc:Fallback>
            <w:pict>
              <v:shape id="_x0000_s1034" type="#_x0000_t202" style="position:absolute;margin-left:252.40000000000001pt;margin-top:4.2999999999999998pt;width:101.05pt;height:7.9000000000000004pt;z-index:-125829373;mso-wrap-distance-left:0;mso-wrap-distance-top:4.2999999999999998pt;mso-wrap-distance-right:0;mso-wrap-distance-bottom:45.899999999999999pt;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type="topAndBottom" anchorx="page"/>
              </v:shape>
            </w:pict>
          </mc:Fallback>
        </mc:AlternateContent>
      </w:r>
      <w:r>
        <mc:AlternateContent>
          <mc:Choice Requires="wps">
            <w:drawing>
              <wp:anchor distT="0" distB="530860" distL="0" distR="0" simplePos="0" relativeHeight="125829382" behindDoc="0" locked="0" layoutInCell="1" allowOverlap="1">
                <wp:simplePos x="0" y="0"/>
                <wp:positionH relativeFrom="page">
                  <wp:posOffset>6101080</wp:posOffset>
                </wp:positionH>
                <wp:positionV relativeFrom="paragraph">
                  <wp:posOffset>0</wp:posOffset>
                </wp:positionV>
                <wp:extent cx="1085215" cy="207010"/>
                <wp:wrapTopAndBottom/>
                <wp:docPr id="10" name="Shape 10"/>
                <a:graphic xmlns:a="http://schemas.openxmlformats.org/drawingml/2006/main">
                  <a:graphicData uri="http://schemas.microsoft.com/office/word/2010/wordprocessingShape">
                    <wps:wsp>
                      <wps:cNvSpPr txBox="1"/>
                      <wps:spPr>
                        <a:xfrm>
                          <a:ext cx="1085215" cy="2070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Т.А. Михеева</w:t>
                            </w:r>
                          </w:p>
                        </w:txbxContent>
                      </wps:txbx>
                      <wps:bodyPr wrap="none" lIns="0" tIns="0" rIns="0" bIns="0">
                        <a:noAutoFit/>
                      </wps:bodyPr>
                    </wps:wsp>
                  </a:graphicData>
                </a:graphic>
              </wp:anchor>
            </w:drawing>
          </mc:Choice>
          <mc:Fallback>
            <w:pict>
              <v:shape id="_x0000_s1036" type="#_x0000_t202" style="position:absolute;margin-left:480.40000000000003pt;margin-top:0;width:85.450000000000003pt;height:16.300000000000001pt;z-index:-125829371;mso-wrap-distance-left:0;mso-wrap-distance-right:0;mso-wrap-distance-bottom:41.80000000000000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Т.А. Михеева</w:t>
                      </w:r>
                    </w:p>
                  </w:txbxContent>
                </v:textbox>
                <w10:wrap type="topAndBottom" anchorx="page"/>
              </v:shape>
            </w:pict>
          </mc:Fallback>
        </mc:AlternateContent>
      </w:r>
      <w:r>
        <mc:AlternateContent>
          <mc:Choice Requires="wps">
            <w:drawing>
              <wp:anchor distT="210185" distB="229235" distL="0" distR="0" simplePos="0" relativeHeight="125829384" behindDoc="0" locked="0" layoutInCell="1" allowOverlap="1">
                <wp:simplePos x="0" y="0"/>
                <wp:positionH relativeFrom="page">
                  <wp:posOffset>2757170</wp:posOffset>
                </wp:positionH>
                <wp:positionV relativeFrom="paragraph">
                  <wp:posOffset>210185</wp:posOffset>
                </wp:positionV>
                <wp:extent cx="2078990" cy="298450"/>
                <wp:wrapTopAndBottom/>
                <wp:docPr id="12" name="Shape 12"/>
                <a:graphic xmlns:a="http://schemas.openxmlformats.org/drawingml/2006/main">
                  <a:graphicData uri="http://schemas.microsoft.com/office/word/2010/wordprocessingShape">
                    <wps:wsp>
                      <wps:cNvSpPr txBox="1"/>
                      <wps:spPr>
                        <a:xfrm>
                          <a:ext cx="2078990" cy="2984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Кому выдан: </w:t>
                            </w:r>
                            <w:r>
                              <w:rPr>
                                <w:rStyle w:val="CharStyle22"/>
                                <w:color w:val="000000"/>
                              </w:rPr>
                              <w:t>Михеева Татьяна Алексеевна</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Сертификат </w:t>
                            </w:r>
                            <w:r>
                              <w:rPr>
                                <w:rStyle w:val="CharStyle22"/>
                                <w:color w:val="292929"/>
                              </w:rPr>
                              <w:t xml:space="preserve">№ </w:t>
                            </w:r>
                            <w:r>
                              <w:rPr>
                                <w:rStyle w:val="CharStyle22"/>
                                <w:lang w:val="en-US" w:eastAsia="en-US"/>
                              </w:rPr>
                              <w:t>36A9594D2B27241A63F07777E2AC7875</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Действителен с 28.05.2025 </w:t>
                            </w:r>
                            <w:r>
                              <w:rPr>
                                <w:rStyle w:val="CharStyle22"/>
                                <w:color w:val="5E5E5E"/>
                              </w:rPr>
                              <w:t xml:space="preserve">по </w:t>
                            </w:r>
                            <w:r>
                              <w:rPr>
                                <w:rStyle w:val="CharStyle22"/>
                              </w:rPr>
                              <w:t>21.08.2026</w:t>
                            </w:r>
                          </w:p>
                        </w:txbxContent>
                      </wps:txbx>
                      <wps:bodyPr lIns="0" tIns="0" rIns="0" bIns="0">
                        <a:noAutoFit/>
                      </wps:bodyPr>
                    </wps:wsp>
                  </a:graphicData>
                </a:graphic>
              </wp:anchor>
            </w:drawing>
          </mc:Choice>
          <mc:Fallback>
            <w:pict>
              <v:shape id="_x0000_s1038" type="#_x0000_t202" style="position:absolute;margin-left:217.09999999999999pt;margin-top:16.550000000000001pt;width:163.70000000000002pt;height:23.5pt;z-index:-125829369;mso-wrap-distance-left:0;mso-wrap-distance-top:16.550000000000001pt;mso-wrap-distance-right:0;mso-wrap-distance-bottom:18.050000000000001pt;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Кому выдан: </w:t>
                      </w:r>
                      <w:r>
                        <w:rPr>
                          <w:rStyle w:val="CharStyle22"/>
                          <w:color w:val="000000"/>
                        </w:rPr>
                        <w:t>Михеева Татьяна Алексеевна</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Сертификат </w:t>
                      </w:r>
                      <w:r>
                        <w:rPr>
                          <w:rStyle w:val="CharStyle22"/>
                          <w:color w:val="292929"/>
                        </w:rPr>
                        <w:t xml:space="preserve">№ </w:t>
                      </w:r>
                      <w:r>
                        <w:rPr>
                          <w:rStyle w:val="CharStyle22"/>
                          <w:lang w:val="en-US" w:eastAsia="en-US"/>
                        </w:rPr>
                        <w:t>36A9594D2B27241A63F07777E2AC7875</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Действителен с 28.05.2025 </w:t>
                      </w:r>
                      <w:r>
                        <w:rPr>
                          <w:rStyle w:val="CharStyle22"/>
                          <w:color w:val="5E5E5E"/>
                        </w:rPr>
                        <w:t xml:space="preserve">по </w:t>
                      </w:r>
                      <w:r>
                        <w:rPr>
                          <w:rStyle w:val="CharStyle22"/>
                        </w:rPr>
                        <w:t>21.08.2026</w:t>
                      </w:r>
                    </w:p>
                  </w:txbxContent>
                </v:textbox>
                <w10:wrap type="topAndBottom" anchorx="page"/>
              </v:shape>
            </w:pict>
          </mc:Fallback>
        </mc:AlternateContent>
      </w:r>
    </w:p>
    <w:p>
      <w:pPr>
        <w:widowControl w:val="0"/>
        <w:spacing w:line="170" w:lineRule="exact"/>
        <w:rPr>
          <w:sz w:val="14"/>
          <w:szCs w:val="14"/>
        </w:rPr>
      </w:pPr>
    </w:p>
    <w:p>
      <w:pPr>
        <w:widowControl w:val="0"/>
        <w:spacing w:line="1" w:lineRule="exact"/>
        <w:sectPr>
          <w:footnotePr>
            <w:pos w:val="pageBottom"/>
            <w:numFmt w:val="decimal"/>
            <w:numRestart w:val="continuous"/>
          </w:footnotePr>
          <w:type w:val="continuous"/>
          <w:pgSz w:w="11900" w:h="16840"/>
          <w:pgMar w:top="1110" w:right="0" w:bottom="1110" w:left="0" w:header="0" w:footer="3" w:gutter="0"/>
          <w:cols w:space="720"/>
          <w:noEndnote/>
          <w:rtlGutter w:val="0"/>
          <w:docGrid w:linePitch="360"/>
        </w:sectPr>
      </w:pPr>
    </w:p>
    <w:p>
      <w:pPr>
        <w:pStyle w:val="Style18"/>
        <w:keepNext w:val="0"/>
        <w:keepLines w:val="0"/>
        <w:widowControl w:val="0"/>
        <w:shd w:val="clear" w:color="auto" w:fill="auto"/>
        <w:bidi w:val="0"/>
        <w:spacing w:before="0" w:after="90" w:line="240" w:lineRule="auto"/>
        <w:ind w:right="0" w:firstLine="0"/>
        <w:jc w:val="left"/>
      </w:pPr>
      <w:r>
        <mc:AlternateContent>
          <mc:Choice Requires="wps">
            <w:drawing>
              <wp:anchor distT="0" distB="0" distL="114300" distR="114300" simplePos="0" relativeHeight="125829386" behindDoc="0" locked="0" layoutInCell="1" allowOverlap="1">
                <wp:simplePos x="0" y="0"/>
                <wp:positionH relativeFrom="page">
                  <wp:posOffset>6070600</wp:posOffset>
                </wp:positionH>
                <wp:positionV relativeFrom="paragraph">
                  <wp:posOffset>38100</wp:posOffset>
                </wp:positionV>
                <wp:extent cx="1115695" cy="259080"/>
                <wp:wrapSquare wrapText="left"/>
                <wp:docPr id="14" name="Shape 14"/>
                <a:graphic xmlns:a="http://schemas.openxmlformats.org/drawingml/2006/main">
                  <a:graphicData uri="http://schemas.microsoft.com/office/word/2010/wordprocessingShape">
                    <wps:wsp>
                      <wps:cNvSpPr txBox="1"/>
                      <wps:spPr>
                        <a:xfrm>
                          <a:ext cx="11156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М.В. Крутова</w:t>
                            </w:r>
                          </w:p>
                        </w:txbxContent>
                      </wps:txbx>
                      <wps:bodyPr wrap="none" lIns="0" tIns="0" rIns="0" bIns="0">
                        <a:noAutoFit/>
                      </wps:bodyPr>
                    </wps:wsp>
                  </a:graphicData>
                </a:graphic>
              </wp:anchor>
            </w:drawing>
          </mc:Choice>
          <mc:Fallback>
            <w:pict>
              <v:shape id="_x0000_s1040" type="#_x0000_t202" style="position:absolute;margin-left:478.pt;margin-top:3.pt;width:87.850000000000009pt;height:20.400000000000002pt;z-index:-125829367;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М.В. Крутова</w:t>
                      </w:r>
                    </w:p>
                  </w:txbxContent>
                </v:textbox>
                <w10:wrap type="square" side="left" anchorx="page"/>
              </v:shape>
            </w:pict>
          </mc:Fallback>
        </mc:AlternateContent>
      </w: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94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Крутова Марина Владимировна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00E89C8D08D17006C4FD5542DC019FD92</w:t>
      </w:r>
      <w:r>
        <w:rPr>
          <w:rStyle w:val="CharStyle22"/>
          <w:lang w:val="en-US" w:eastAsia="en-US"/>
        </w:rPr>
        <w:t>3</w:t>
      </w:r>
    </w:p>
    <w:p>
      <w:pPr>
        <w:pStyle w:val="Style21"/>
        <w:keepNext w:val="0"/>
        <w:keepLines w:val="0"/>
        <w:widowControl w:val="0"/>
        <w:shd w:val="clear" w:color="auto" w:fill="auto"/>
        <w:bidi w:val="0"/>
        <w:spacing w:before="0" w:after="580" w:line="240" w:lineRule="auto"/>
        <w:ind w:right="0" w:firstLine="0"/>
        <w:jc w:val="left"/>
      </w:pPr>
      <w:r>
        <w:drawing>
          <wp:anchor distT="0" distB="0" distL="114300" distR="1931035" simplePos="0" relativeHeight="125829388" behindDoc="0" locked="0" layoutInCell="1" allowOverlap="1">
            <wp:simplePos x="0" y="0"/>
            <wp:positionH relativeFrom="page">
              <wp:posOffset>2763520</wp:posOffset>
            </wp:positionH>
            <wp:positionV relativeFrom="paragraph">
              <wp:posOffset>368300</wp:posOffset>
            </wp:positionV>
            <wp:extent cx="298450" cy="347345"/>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9"/>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3153410</wp:posOffset>
                </wp:positionH>
                <wp:positionV relativeFrom="paragraph">
                  <wp:posOffset>429260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48.30000000000001pt;margin-top:33.799999999999997pt;width:135.59999999999999pt;height:20.400000000000002pt;z-index:251657729;mso-wrap-distance-left:0;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2"/>
        </w:rPr>
        <w:t xml:space="preserve">Действителен с 28.04.2026 </w:t>
      </w:r>
      <w:r>
        <w:rPr>
          <w:rStyle w:val="CharStyle22"/>
          <w:color w:val="5E5E5E"/>
        </w:rPr>
        <w:t xml:space="preserve">по </w:t>
      </w:r>
      <w:r>
        <w:rPr>
          <w:rStyle w:val="CharStyle22"/>
        </w:rPr>
        <w:t>22.07.2027</w:t>
      </w:r>
    </w:p>
    <w:p>
      <w:pPr>
        <w:pStyle w:val="Style12"/>
        <w:keepNext/>
        <w:keepLines/>
        <w:widowControl w:val="0"/>
        <w:shd w:val="clear" w:color="auto" w:fill="auto"/>
        <w:bidi w:val="0"/>
        <w:spacing w:before="0" w:after="90" w:line="240" w:lineRule="auto"/>
        <w:ind w:left="1360" w:right="0" w:firstLine="0"/>
        <w:jc w:val="left"/>
      </w:pPr>
      <w:bookmarkStart w:id="15" w:name="bookmark15"/>
      <w:r>
        <w:rPr>
          <w:rStyle w:val="CharStyle13"/>
          <w:b/>
          <w:bCs/>
        </w:rPr>
        <w:t>Ю.К. Жданкина</w:t>
      </w:r>
      <w:bookmarkEnd w:id="15"/>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94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Жданкина Юлия Константиновна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0489C4D00A363D6748F1FFAED9566C9F</w:t>
      </w:r>
    </w:p>
    <w:p>
      <w:pPr>
        <w:pStyle w:val="Style21"/>
        <w:keepNext w:val="0"/>
        <w:keepLines w:val="0"/>
        <w:widowControl w:val="0"/>
        <w:shd w:val="clear" w:color="auto" w:fill="auto"/>
        <w:bidi w:val="0"/>
        <w:spacing w:before="0" w:after="100" w:line="240" w:lineRule="auto"/>
        <w:ind w:right="0" w:firstLine="0"/>
        <w:jc w:val="left"/>
      </w:pPr>
      <w:r>
        <w:rPr>
          <w:rStyle w:val="CharStyle22"/>
        </w:rPr>
        <w:t xml:space="preserve">Действителен с 12.05.2025 </w:t>
      </w:r>
      <w:r>
        <w:rPr>
          <w:rStyle w:val="CharStyle22"/>
          <w:color w:val="5E5E5E"/>
        </w:rPr>
        <w:t xml:space="preserve">по </w:t>
      </w:r>
      <w:r>
        <w:rPr>
          <w:rStyle w:val="CharStyle22"/>
        </w:rPr>
        <w:t>05.08.2026</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10028555</wp:posOffset>
              </wp:positionV>
              <wp:extent cx="3298190" cy="121920"/>
              <wp:wrapNone/>
              <wp:docPr id="2" name="Shape 2"/>
              <a:graphic xmlns:a="http://schemas.openxmlformats.org/drawingml/2006/main">
                <a:graphicData uri="http://schemas.microsoft.com/office/word/2010/wordprocessingShape">
                  <wps:wsp>
                    <wps:cNvSpPr txBox="1"/>
                    <wps:spPr>
                      <a:xfrm>
                        <a:ext cx="3298190" cy="121920"/>
                      </a:xfrm>
                      <a:prstGeom prst="rect"/>
                      <a:noFill/>
                    </wps:spPr>
                    <wps:txbx>
                      <w:txbxContent>
                        <w:p>
                          <w:pPr>
                            <w:pStyle w:val="Style2"/>
                            <w:keepNext w:val="0"/>
                            <w:keepLines w:val="0"/>
                            <w:widowControl w:val="0"/>
                            <w:shd w:val="clear" w:color="auto" w:fill="auto"/>
                            <w:tabs>
                              <w:tab w:pos="5194" w:val="right"/>
                            </w:tabs>
                            <w:bidi w:val="0"/>
                            <w:spacing w:before="0" w:after="0" w:line="240" w:lineRule="auto"/>
                            <w:ind w:left="0" w:right="0" w:firstLine="0"/>
                            <w:jc w:val="left"/>
                            <w:rPr>
                              <w:sz w:val="24"/>
                              <w:szCs w:val="24"/>
                            </w:rPr>
                          </w:pPr>
                          <w:r>
                            <w:rPr>
                              <w:rStyle w:val="CharStyle3"/>
                              <w:sz w:val="24"/>
                              <w:szCs w:val="24"/>
                            </w:rPr>
                            <w:t>2026-2037</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89.64999999999998pt;width:259.69999999999999pt;height:9.5999999999999996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94" w:val="right"/>
                      </w:tabs>
                      <w:bidi w:val="0"/>
                      <w:spacing w:before="0" w:after="0" w:line="240" w:lineRule="auto"/>
                      <w:ind w:left="0" w:right="0" w:firstLine="0"/>
                      <w:jc w:val="left"/>
                      <w:rPr>
                        <w:sz w:val="24"/>
                        <w:szCs w:val="24"/>
                      </w:rPr>
                    </w:pPr>
                    <w:r>
                      <w:rPr>
                        <w:rStyle w:val="CharStyle3"/>
                        <w:sz w:val="24"/>
                        <w:szCs w:val="24"/>
                      </w:rPr>
                      <w:t>2026-2037</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58495" cy="121920"/>
              <wp:wrapNone/>
              <wp:docPr id="4" name="Shape 4"/>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2026-2037</w:t>
                          </w:r>
                        </w:p>
                      </w:txbxContent>
                    </wps:txbx>
                    <wps:bodyPr wrap="none" lIns="0" tIns="0" rIns="0" bIns="0">
                      <a:spAutoFit/>
                    </wps:bodyPr>
                  </wps:wsp>
                </a:graphicData>
              </a:graphic>
            </wp:anchor>
          </w:drawing>
        </mc:Choice>
        <mc:Fallback>
          <w:pict>
            <v:shape id="_x0000_s1030" type="#_x0000_t202" style="position:absolute;margin-left:57.pt;margin-top:776.20000000000005pt;width:51.8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Heading #3_"/>
    <w:basedOn w:val="DefaultParagraphFont"/>
    <w:link w:val="Style12"/>
    <w:rPr>
      <w:rFonts w:ascii="Times New Roman" w:eastAsia="Times New Roman" w:hAnsi="Times New Roman" w:cs="Times New Roman"/>
      <w:b/>
      <w:bCs/>
      <w:i w:val="0"/>
      <w:iCs w:val="0"/>
      <w:smallCaps w:val="0"/>
      <w:strike w:val="0"/>
      <w:sz w:val="28"/>
      <w:szCs w:val="28"/>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Body text (3)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34343"/>
      <w:sz w:val="12"/>
      <w:szCs w:val="12"/>
      <w:u w:val="none"/>
    </w:rPr>
  </w:style>
  <w:style w:type="character" w:customStyle="1" w:styleId="CharStyle27">
    <w:name w:val="Body text (6)_"/>
    <w:basedOn w:val="DefaultParagraphFont"/>
    <w:link w:val="Style26"/>
    <w:rPr>
      <w:rFonts w:ascii="Times New Roman" w:eastAsia="Times New Roman" w:hAnsi="Times New Roman" w:cs="Times New Roman"/>
      <w:b w:val="0"/>
      <w:bCs w:val="0"/>
      <w:i w:val="0"/>
      <w:iCs w:val="0"/>
      <w:smallCaps w:val="0"/>
      <w:strike w:val="0"/>
      <w:u w:val="none"/>
    </w:rPr>
  </w:style>
  <w:style w:type="character" w:customStyle="1" w:styleId="CharStyle30">
    <w:name w:val="Heading #1_"/>
    <w:basedOn w:val="DefaultParagraphFont"/>
    <w:link w:val="Style29"/>
    <w:rPr>
      <w:rFonts w:ascii="Times New Roman" w:eastAsia="Times New Roman" w:hAnsi="Times New Roman" w:cs="Times New Roman"/>
      <w:b w:val="0"/>
      <w:bCs w:val="0"/>
      <w:i w:val="0"/>
      <w:iCs w:val="0"/>
      <w:smallCaps w:val="0"/>
      <w:strike w:val="0"/>
      <w:sz w:val="48"/>
      <w:szCs w:val="48"/>
      <w:u w:val="none"/>
      <w:lang w:val="en-US" w:eastAsia="en-US"/>
    </w:rPr>
  </w:style>
  <w:style w:type="character" w:customStyle="1" w:styleId="CharStyle36">
    <w:name w:val="Picture caption_"/>
    <w:basedOn w:val="DefaultParagraphFont"/>
    <w:link w:val="Style35"/>
    <w:rPr>
      <w:rFonts w:ascii="Georgia" w:eastAsia="Georgia" w:hAnsi="Georgia" w:cs="Georgia"/>
      <w:b w:val="0"/>
      <w:bCs w:val="0"/>
      <w:i w:val="0"/>
      <w:iCs w:val="0"/>
      <w:smallCaps w:val="0"/>
      <w:strike w:val="0"/>
      <w:color w:val="292929"/>
      <w:sz w:val="11"/>
      <w:szCs w:val="11"/>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4)"/>
    <w:basedOn w:val="Normal"/>
    <w:link w:val="CharStyle6"/>
    <w:pPr>
      <w:widowControl w:val="0"/>
      <w:shd w:val="clear" w:color="auto" w:fill="auto"/>
      <w:spacing w:after="9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5)"/>
    <w:basedOn w:val="Normal"/>
    <w:link w:val="CharStyle9"/>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Heading #3"/>
    <w:basedOn w:val="Normal"/>
    <w:link w:val="CharStyle13"/>
    <w:pPr>
      <w:widowControl w:val="0"/>
      <w:shd w:val="clear" w:color="auto" w:fill="auto"/>
      <w:outlineLvl w:val="2"/>
    </w:pPr>
    <w:rPr>
      <w:rFonts w:ascii="Times New Roman" w:eastAsia="Times New Roman" w:hAnsi="Times New Roman" w:cs="Times New Roman"/>
      <w:b/>
      <w:bCs/>
      <w:i w:val="0"/>
      <w:iCs w:val="0"/>
      <w:smallCaps w:val="0"/>
      <w:strike w:val="0"/>
      <w:sz w:val="28"/>
      <w:szCs w:val="28"/>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Body text (3)"/>
    <w:basedOn w:val="Normal"/>
    <w:link w:val="CharStyle19"/>
    <w:pPr>
      <w:widowControl w:val="0"/>
      <w:shd w:val="clear" w:color="auto" w:fill="auto"/>
      <w:spacing w:after="100"/>
      <w:ind w:left="3880"/>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ind w:left="3220"/>
    </w:pPr>
    <w:rPr>
      <w:rFonts w:ascii="Arial" w:eastAsia="Arial" w:hAnsi="Arial" w:cs="Arial"/>
      <w:b w:val="0"/>
      <w:bCs w:val="0"/>
      <w:i w:val="0"/>
      <w:iCs w:val="0"/>
      <w:smallCaps w:val="0"/>
      <w:strike w:val="0"/>
      <w:color w:val="434343"/>
      <w:sz w:val="12"/>
      <w:szCs w:val="12"/>
      <w:u w:val="none"/>
    </w:rPr>
  </w:style>
  <w:style w:type="paragraph" w:customStyle="1" w:styleId="Style26">
    <w:name w:val="Body text (6)"/>
    <w:basedOn w:val="Normal"/>
    <w:link w:val="CharStyle27"/>
    <w:pPr>
      <w:widowControl w:val="0"/>
      <w:shd w:val="clear" w:color="auto" w:fill="auto"/>
      <w:spacing w:after="940"/>
      <w:ind w:firstLine="880"/>
    </w:pPr>
    <w:rPr>
      <w:rFonts w:ascii="Times New Roman" w:eastAsia="Times New Roman" w:hAnsi="Times New Roman" w:cs="Times New Roman"/>
      <w:b w:val="0"/>
      <w:bCs w:val="0"/>
      <w:i w:val="0"/>
      <w:iCs w:val="0"/>
      <w:smallCaps w:val="0"/>
      <w:strike w:val="0"/>
      <w:u w:val="none"/>
    </w:rPr>
  </w:style>
  <w:style w:type="paragraph" w:customStyle="1" w:styleId="Style29">
    <w:name w:val="Heading #1"/>
    <w:basedOn w:val="Normal"/>
    <w:link w:val="CharStyle30"/>
    <w:pPr>
      <w:widowControl w:val="0"/>
      <w:shd w:val="clear" w:color="auto" w:fill="auto"/>
      <w:spacing w:after="600"/>
      <w:outlineLvl w:val="0"/>
    </w:pPr>
    <w:rPr>
      <w:rFonts w:ascii="Times New Roman" w:eastAsia="Times New Roman" w:hAnsi="Times New Roman" w:cs="Times New Roman"/>
      <w:b w:val="0"/>
      <w:bCs w:val="0"/>
      <w:i w:val="0"/>
      <w:iCs w:val="0"/>
      <w:smallCaps w:val="0"/>
      <w:strike w:val="0"/>
      <w:sz w:val="48"/>
      <w:szCs w:val="48"/>
      <w:u w:val="none"/>
      <w:lang w:val="en-US" w:eastAsia="en-US"/>
    </w:rPr>
  </w:style>
  <w:style w:type="paragraph" w:customStyle="1" w:styleId="Style35">
    <w:name w:val="Picture caption"/>
    <w:basedOn w:val="Normal"/>
    <w:link w:val="CharStyle3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