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rStyle w:val="CharStyle10"/>
        </w:rPr>
        <w:t>ФГБНУ «РНЦХ им. акад. Б.В. Петровского»</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"mailto:vladimirova.vn@med.ru" </w:instrText>
      </w:r>
      <w:r>
        <w:fldChar w:fldCharType="separate"/>
      </w:r>
      <w:r>
        <w:rPr>
          <w:rStyle w:val="CharStyle10"/>
          <w:lang w:val="en-US" w:eastAsia="en-US"/>
        </w:rPr>
        <w:t>vladimirova.vn@med.ru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ИП Кравченко А.В.</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842" w:bottom="708" w:left="1135" w:header="0" w:footer="3" w:gutter="0"/>
          <w:pgNumType w:start="1"/>
          <w:cols w:num="2" w:space="720" w:equalWidth="0">
            <w:col w:w="4066" w:space="1205"/>
            <w:col w:w="3653"/>
          </w:cols>
          <w:noEndnote/>
          <w:titlePg/>
          <w:rtlGutter w:val="0"/>
          <w:docGrid w:linePitch="360"/>
        </w:sectPr>
      </w:pPr>
      <w:r>
        <w:fldChar w:fldCharType="begin"/>
      </w:r>
      <w:r>
        <w:rPr/>
        <w:instrText> HYPERLINK "mailto:info@gosfarm.ru" </w:instrText>
      </w:r>
      <w:r>
        <w:fldChar w:fldCharType="separate"/>
      </w:r>
      <w:r>
        <w:rPr>
          <w:rStyle w:val="CharStyle10"/>
          <w:lang w:val="en-US" w:eastAsia="en-US"/>
        </w:rPr>
        <w:t>info@gosfarm.ru</w:t>
      </w:r>
      <w:r>
        <w:fldChar w:fldCharType="end"/>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650" w:left="0" w:header="0" w:footer="3" w:gutter="0"/>
          <w:cols w:space="720"/>
          <w:noEndnote/>
          <w:rtlGutter w:val="0"/>
          <w:docGrid w:linePitch="360"/>
        </w:sectPr>
      </w:pPr>
    </w:p>
    <w:p>
      <w:pPr>
        <w:widowControl w:val="0"/>
        <w:spacing w:after="335" w:line="1" w:lineRule="exact"/>
      </w:pPr>
      <w:r>
        <w:drawing>
          <wp:anchor distT="0" distB="0" distL="0" distR="0" simplePos="0" relativeHeight="62914694" behindDoc="1" locked="0" layoutInCell="1" allowOverlap="1">
            <wp:simplePos x="0" y="0"/>
            <wp:positionH relativeFrom="page">
              <wp:posOffset>708660</wp:posOffset>
            </wp:positionH>
            <wp:positionV relativeFrom="paragraph">
              <wp:posOffset>12700</wp:posOffset>
            </wp:positionV>
            <wp:extent cx="219710" cy="21336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219710" cy="213360"/>
                    </a:xfrm>
                    <a:prstGeom prst="rect"/>
                  </pic:spPr>
                </pic:pic>
              </a:graphicData>
            </a:graphic>
          </wp:anchor>
        </w:drawing>
      </w:r>
      <w:r>
        <w:drawing>
          <wp:anchor distT="0" distB="0" distL="0" distR="0" simplePos="0" relativeHeight="62914695" behindDoc="1" locked="0" layoutInCell="1" allowOverlap="1">
            <wp:simplePos x="0" y="0"/>
            <wp:positionH relativeFrom="page">
              <wp:posOffset>3122295</wp:posOffset>
            </wp:positionH>
            <wp:positionV relativeFrom="paragraph">
              <wp:posOffset>12700</wp:posOffset>
            </wp:positionV>
            <wp:extent cx="219710" cy="213360"/>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3"/>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94" w:right="541" w:bottom="650" w:left="1106" w:header="0" w:footer="3" w:gutter="0"/>
          <w:cols w:space="720"/>
          <w:noEndnote/>
          <w:rtlGutter w:val="0"/>
          <w:docGrid w:linePitch="360"/>
        </w:sectPr>
      </w:pPr>
    </w:p>
    <w:p>
      <w:pPr>
        <w:widowControl w:val="0"/>
        <w:spacing w:line="240" w:lineRule="exact"/>
        <w:rPr>
          <w:sz w:val="19"/>
          <w:szCs w:val="19"/>
        </w:rPr>
      </w:pPr>
    </w:p>
    <w:p>
      <w:pPr>
        <w:widowControl w:val="0"/>
        <w:spacing w:before="92" w:after="9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73" w:right="0" w:bottom="628"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957" w:val="left"/>
        </w:tabs>
        <w:bidi w:val="0"/>
        <w:spacing w:before="0" w:after="0" w:line="240" w:lineRule="auto"/>
        <w:ind w:left="0" w:right="0" w:firstLine="0"/>
        <w:jc w:val="center"/>
      </w:pPr>
      <w:r>
        <w:rPr>
          <w:rStyle w:val="CharStyle10"/>
          <w:b/>
          <w:bCs/>
        </w:rPr>
        <w:t>по делу № 077/06/105-5623/2026 о нарушении</w:t>
        <w:br/>
        <w:t>законодательства о контрактной системе</w:t>
        <w:br/>
        <w:t>05.05.2026</w:t>
        <w:tab/>
        <w:t>г. Москва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Председательствующего: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Главного специалиста-эксперта отдела обжалования государственных закупок М.О. Мацневой,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Специалиста-эксперта отдела обжалования государственных закупок А.С. Гелмутдиновой,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рассмотрение жалобы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ФГБНУ «РНЦХ им. акад. Б.В. Петровского»: А.В. Митякова (по доверенности № 01-исх/1300 от 30.03.2026), Н.А. Ходакова (по доверенности № 01-исх/154 от 19.01.2026), Ю.О. Тютина (по доверенности № 01-исх/1241 от 26.03.2026)</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рассмотрев жалобу ИП Кравченко А.В. (далее — Заявитель) на действия ФГБНУ «РНЦХ им. акад. Б.В. Петровского» (далее — Заказчик) при проведении электронного аукциона на право заключения государственного контракта на поставку медицинских расходных материалов для нужд ФГБНУ «РНЦХ им. акад.</w:t>
      </w:r>
    </w:p>
    <w:p>
      <w:pPr>
        <w:widowControl w:val="0"/>
        <w:spacing w:line="1" w:lineRule="exact"/>
      </w:pPr>
      <w:r>
        <w:drawing>
          <wp:anchor distT="88900" distB="0" distL="0" distR="0" simplePos="0" relativeHeight="125829378" behindDoc="0" locked="0" layoutInCell="1" allowOverlap="1">
            <wp:simplePos x="0" y="0"/>
            <wp:positionH relativeFrom="page">
              <wp:posOffset>717550</wp:posOffset>
            </wp:positionH>
            <wp:positionV relativeFrom="paragraph">
              <wp:posOffset>88900</wp:posOffset>
            </wp:positionV>
            <wp:extent cx="1511935" cy="29273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5"/>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560" w:line="240" w:lineRule="auto"/>
        <w:ind w:left="0" w:right="0" w:firstLine="0"/>
        <w:jc w:val="both"/>
      </w:pPr>
      <w:r>
        <w:rPr>
          <w:rStyle w:val="CharStyle10"/>
        </w:rPr>
        <w:t xml:space="preserve">Б.В. Петровского» (Закупка </w:t>
      </w:r>
      <w:r>
        <w:rPr>
          <w:rStyle w:val="CharStyle10"/>
          <w:lang w:val="en-US" w:eastAsia="en-US"/>
        </w:rPr>
        <w:t xml:space="preserve">№ 0373100072126000694) </w:t>
      </w:r>
      <w:r>
        <w:rPr>
          <w:rStyle w:val="CharStyle10"/>
        </w:rPr>
        <w:t xml:space="preserve">(далее </w:t>
      </w:r>
      <w:r>
        <w:rPr>
          <w:rStyle w:val="CharStyle10"/>
          <w:lang w:val="en-US" w:eastAsia="en-US"/>
        </w:rPr>
        <w:t xml:space="preserve">— </w:t>
      </w:r>
      <w:r>
        <w:rPr>
          <w:rStyle w:val="CharStyle10"/>
        </w:rPr>
        <w:t xml:space="preserve">электронный аукцион, аукцион), в соответствии с Федеральным законом от </w:t>
      </w:r>
      <w:r>
        <w:rPr>
          <w:rStyle w:val="CharStyle10"/>
          <w:lang w:val="en-US" w:eastAsia="en-US"/>
        </w:rPr>
        <w:t xml:space="preserve">05.04.2013 № </w:t>
      </w:r>
      <w:r>
        <w:rPr>
          <w:rStyle w:val="CharStyle10"/>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Закон о контрактной системе),</w:t>
      </w:r>
    </w:p>
    <w:p>
      <w:pPr>
        <w:pStyle w:val="Style9"/>
        <w:keepNext w:val="0"/>
        <w:keepLines w:val="0"/>
        <w:widowControl w:val="0"/>
        <w:shd w:val="clear" w:color="auto" w:fill="auto"/>
        <w:bidi w:val="0"/>
        <w:spacing w:before="0" w:after="24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Московское УФАС России поступила жалоба Заявителя на действия Заказчика при проведении вышеуказанного аукциона.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numPr>
          <w:ilvl w:val="0"/>
          <w:numId w:val="1"/>
        </w:numPr>
        <w:shd w:val="clear" w:color="auto" w:fill="auto"/>
        <w:tabs>
          <w:tab w:pos="1423" w:val="left"/>
        </w:tabs>
        <w:bidi w:val="0"/>
        <w:spacing w:before="0" w:after="0" w:line="240" w:lineRule="auto"/>
        <w:ind w:left="0" w:right="0" w:firstLine="700"/>
        <w:jc w:val="both"/>
      </w:pPr>
      <w:r>
        <w:rPr>
          <w:rStyle w:val="CharStyle10"/>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10"/>
          <w:lang w:val="en-US" w:eastAsia="en-US"/>
        </w:rPr>
        <w:t xml:space="preserve">- </w:t>
      </w:r>
      <w:r>
        <w:rPr>
          <w:rStyle w:val="CharStyle10"/>
        </w:rPr>
        <w:t xml:space="preserve">ОКПД </w:t>
      </w:r>
      <w:r>
        <w:rPr>
          <w:rStyle w:val="CharStyle10"/>
          <w:lang w:val="en-US" w:eastAsia="en-US"/>
        </w:rPr>
        <w:t xml:space="preserve">2) </w:t>
      </w:r>
      <w:r>
        <w:rPr>
          <w:rStyle w:val="CharStyle10"/>
        </w:rPr>
        <w:t>и разных направлений.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10"/>
        </w:rPr>
        <w:t>сопровождение такого указания словами «или эквивалент»;</w:t>
      </w:r>
    </w:p>
    <w:p>
      <w:pPr>
        <w:pStyle w:val="Style9"/>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10"/>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10"/>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3"/>
        </w:numPr>
        <w:shd w:val="clear" w:color="auto" w:fill="auto"/>
        <w:tabs>
          <w:tab w:pos="1423" w:val="left"/>
        </w:tabs>
        <w:bidi w:val="0"/>
        <w:spacing w:before="0" w:after="240" w:line="276" w:lineRule="auto"/>
        <w:ind w:left="0" w:right="0" w:firstLine="700"/>
        <w:jc w:val="both"/>
        <w:rPr>
          <w:sz w:val="24"/>
          <w:szCs w:val="24"/>
        </w:rPr>
      </w:pPr>
      <w:r>
        <w:rPr>
          <w:rStyle w:val="CharStyle10"/>
        </w:rPr>
        <w:t xml:space="preserve">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w:t>
      </w:r>
      <w:r>
        <w:rPr>
          <w:rStyle w:val="CharStyle10"/>
          <w:sz w:val="24"/>
          <w:szCs w:val="24"/>
          <w:lang w:val="en-US" w:eastAsia="en-US"/>
        </w:rPr>
        <w:t>2026-22699</w:t>
      </w:r>
    </w:p>
    <w:p>
      <w:pPr>
        <w:pStyle w:val="Style9"/>
        <w:keepNext w:val="0"/>
        <w:keepLines w:val="0"/>
        <w:widowControl w:val="0"/>
        <w:shd w:val="clear" w:color="auto" w:fill="auto"/>
        <w:bidi w:val="0"/>
        <w:spacing w:before="0" w:after="0" w:line="240" w:lineRule="auto"/>
        <w:ind w:left="0" w:right="0" w:firstLine="0"/>
        <w:jc w:val="both"/>
      </w:pPr>
      <w:r>
        <w:rPr>
          <w:rStyle w:val="CharStyle10"/>
        </w:rPr>
        <w:t>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08.02.2017 №145 </w:t>
      </w:r>
      <w:r>
        <w:rPr>
          <w:rStyle w:val="CharStyle10"/>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Правила использования КТРУ).</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9"/>
        <w:keepNext w:val="0"/>
        <w:keepLines w:val="0"/>
        <w:widowControl w:val="0"/>
        <w:numPr>
          <w:ilvl w:val="0"/>
          <w:numId w:val="5"/>
        </w:numPr>
        <w:shd w:val="clear" w:color="auto" w:fill="auto"/>
        <w:tabs>
          <w:tab w:pos="1389" w:val="left"/>
        </w:tabs>
        <w:bidi w:val="0"/>
        <w:spacing w:before="0" w:after="0" w:line="240" w:lineRule="auto"/>
        <w:ind w:left="0" w:right="0" w:firstLine="700"/>
        <w:jc w:val="both"/>
      </w:pPr>
      <w:r>
        <w:rPr>
          <w:rStyle w:val="CharStyle10"/>
        </w:rPr>
        <w:t>извещении об осуществлении закупки;</w:t>
      </w:r>
    </w:p>
    <w:p>
      <w:pPr>
        <w:pStyle w:val="Style9"/>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10"/>
        </w:rPr>
        <w:t xml:space="preserve">приглашении принять участие в определении поставщика (подрядчика, исполнителя) (далее </w:t>
      </w:r>
      <w:r>
        <w:rPr>
          <w:rStyle w:val="CharStyle10"/>
          <w:lang w:val="en-US" w:eastAsia="en-US"/>
        </w:rPr>
        <w:t xml:space="preserve">— </w:t>
      </w:r>
      <w:r>
        <w:rPr>
          <w:rStyle w:val="CharStyle10"/>
        </w:rPr>
        <w:t>приглашение);</w:t>
      </w:r>
    </w:p>
    <w:p>
      <w:pPr>
        <w:pStyle w:val="Style9"/>
        <w:keepNext w:val="0"/>
        <w:keepLines w:val="0"/>
        <w:widowControl w:val="0"/>
        <w:numPr>
          <w:ilvl w:val="0"/>
          <w:numId w:val="5"/>
        </w:numPr>
        <w:shd w:val="clear" w:color="auto" w:fill="auto"/>
        <w:tabs>
          <w:tab w:pos="1389" w:val="left"/>
        </w:tabs>
        <w:bidi w:val="0"/>
        <w:spacing w:before="0" w:after="0" w:line="240" w:lineRule="auto"/>
        <w:ind w:left="0" w:right="0" w:firstLine="700"/>
        <w:jc w:val="both"/>
      </w:pPr>
      <w:r>
        <w:rPr>
          <w:rStyle w:val="CharStyle10"/>
        </w:rPr>
        <w:t>документации о закупке (в случае если Федеральным законом</w:t>
      </w:r>
    </w:p>
    <w:p>
      <w:pPr>
        <w:pStyle w:val="Style9"/>
        <w:keepNext w:val="0"/>
        <w:keepLines w:val="0"/>
        <w:widowControl w:val="0"/>
        <w:shd w:val="clear" w:color="auto" w:fill="auto"/>
        <w:bidi w:val="0"/>
        <w:spacing w:before="0" w:after="0" w:line="240" w:lineRule="auto"/>
        <w:ind w:left="0" w:right="0" w:firstLine="0"/>
        <w:jc w:val="both"/>
      </w:pPr>
      <w:r>
        <w:rPr>
          <w:rStyle w:val="CharStyle10"/>
        </w:rPr>
        <w:t>предусмотрена документация о закупке);</w:t>
      </w:r>
    </w:p>
    <w:p>
      <w:pPr>
        <w:pStyle w:val="Style9"/>
        <w:keepNext w:val="0"/>
        <w:keepLines w:val="0"/>
        <w:widowControl w:val="0"/>
        <w:numPr>
          <w:ilvl w:val="0"/>
          <w:numId w:val="5"/>
        </w:numPr>
        <w:shd w:val="clear" w:color="auto" w:fill="auto"/>
        <w:tabs>
          <w:tab w:pos="1389" w:val="left"/>
        </w:tabs>
        <w:bidi w:val="0"/>
        <w:spacing w:before="0" w:after="0" w:line="240" w:lineRule="auto"/>
        <w:ind w:left="0" w:right="0" w:firstLine="700"/>
        <w:jc w:val="both"/>
      </w:pPr>
      <w:r>
        <w:rPr>
          <w:rStyle w:val="CharStyle10"/>
        </w:rPr>
        <w:t>контракте;</w:t>
      </w:r>
    </w:p>
    <w:p>
      <w:pPr>
        <w:pStyle w:val="Style9"/>
        <w:keepNext w:val="0"/>
        <w:keepLines w:val="0"/>
        <w:widowControl w:val="0"/>
        <w:numPr>
          <w:ilvl w:val="0"/>
          <w:numId w:val="5"/>
        </w:numPr>
        <w:shd w:val="clear" w:color="auto" w:fill="auto"/>
        <w:tabs>
          <w:tab w:pos="1389" w:val="left"/>
        </w:tabs>
        <w:bidi w:val="0"/>
        <w:spacing w:before="0" w:after="0" w:line="240" w:lineRule="auto"/>
        <w:ind w:left="0" w:right="0" w:firstLine="700"/>
        <w:jc w:val="both"/>
      </w:pPr>
      <w:r>
        <w:rPr>
          <w:rStyle w:val="CharStyle10"/>
        </w:rPr>
        <w:t>реестре контрактов, заключенных заказчиками.</w:t>
      </w:r>
    </w:p>
    <w:p>
      <w:pPr>
        <w:pStyle w:val="Style9"/>
        <w:keepNext w:val="0"/>
        <w:keepLines w:val="0"/>
        <w:widowControl w:val="0"/>
        <w:shd w:val="clear" w:color="auto" w:fill="auto"/>
        <w:bidi w:val="0"/>
        <w:spacing w:before="0" w:after="0" w:line="240" w:lineRule="auto"/>
        <w:ind w:left="0" w:right="0" w:firstLine="700"/>
        <w:jc w:val="both"/>
        <w:rPr>
          <w:sz w:val="24"/>
          <w:szCs w:val="24"/>
        </w:rPr>
        <w:sectPr>
          <w:footnotePr>
            <w:pos w:val="pageBottom"/>
            <w:numFmt w:val="decimal"/>
            <w:numRestart w:val="continuous"/>
          </w:footnotePr>
          <w:type w:val="continuous"/>
          <w:pgSz w:w="11900" w:h="16840"/>
          <w:pgMar w:top="573" w:right="539" w:bottom="628" w:left="1104" w:header="0" w:footer="3" w:gutter="0"/>
          <w:cols w:space="720"/>
          <w:noEndnote/>
          <w:rtlGutter w:val="0"/>
          <w:docGrid w:linePitch="360"/>
        </w:sectPr>
      </w:pPr>
      <w:r>
        <w:rPr>
          <w:rStyle w:val="CharStyle10"/>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10"/>
          <w:lang w:val="en-US" w:eastAsia="en-US"/>
        </w:rPr>
        <w:t xml:space="preserve">- </w:t>
      </w:r>
      <w:r>
        <w:rPr>
          <w:rStyle w:val="CharStyle10"/>
        </w:rPr>
        <w:t xml:space="preserve">«г» и «е» </w:t>
      </w:r>
      <w:r>
        <w:rPr>
          <w:rStyle w:val="CharStyle10"/>
          <w:lang w:val="en-US" w:eastAsia="en-US"/>
        </w:rPr>
        <w:t xml:space="preserve">- </w:t>
      </w:r>
      <w:r>
        <w:rPr>
          <w:rStyle w:val="CharStyle10"/>
        </w:rPr>
        <w:t xml:space="preserve">«з»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w:t>
      </w:r>
      <w:r>
        <w:rPr>
          <w:rStyle w:val="CharStyle10"/>
          <w:sz w:val="24"/>
          <w:szCs w:val="24"/>
          <w:lang w:val="en-US" w:eastAsia="en-US"/>
        </w:rPr>
        <w:t>2026-22699</w:t>
      </w:r>
    </w:p>
    <w:p>
      <w:pPr>
        <w:pStyle w:val="Style9"/>
        <w:keepNext w:val="0"/>
        <w:keepLines w:val="0"/>
        <w:widowControl w:val="0"/>
        <w:numPr>
          <w:ilvl w:val="0"/>
          <w:numId w:val="7"/>
        </w:numPr>
        <w:shd w:val="clear" w:color="auto" w:fill="auto"/>
        <w:tabs>
          <w:tab w:pos="1434" w:val="left"/>
        </w:tabs>
        <w:bidi w:val="0"/>
        <w:spacing w:before="0" w:after="0" w:line="240" w:lineRule="auto"/>
        <w:ind w:left="0" w:right="0" w:firstLine="700"/>
        <w:jc w:val="both"/>
      </w:pPr>
      <w:r>
        <w:rPr>
          <w:rStyle w:val="CharStyle10"/>
        </w:rPr>
        <w:t>наименование товара, работы, услуги;</w:t>
      </w:r>
    </w:p>
    <w:p>
      <w:pPr>
        <w:pStyle w:val="Style9"/>
        <w:keepNext w:val="0"/>
        <w:keepLines w:val="0"/>
        <w:widowControl w:val="0"/>
        <w:numPr>
          <w:ilvl w:val="0"/>
          <w:numId w:val="7"/>
        </w:numPr>
        <w:shd w:val="clear" w:color="auto" w:fill="auto"/>
        <w:tabs>
          <w:tab w:pos="1423" w:val="left"/>
        </w:tabs>
        <w:bidi w:val="0"/>
        <w:spacing w:before="0" w:after="0" w:line="240" w:lineRule="auto"/>
        <w:ind w:left="0" w:right="0" w:firstLine="700"/>
        <w:jc w:val="both"/>
      </w:pPr>
      <w:r>
        <w:rPr>
          <w:rStyle w:val="CharStyle10"/>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7"/>
        </w:numPr>
        <w:shd w:val="clear" w:color="auto" w:fill="auto"/>
        <w:tabs>
          <w:tab w:pos="1423" w:val="left"/>
        </w:tabs>
        <w:bidi w:val="0"/>
        <w:spacing w:before="0" w:after="0" w:line="240" w:lineRule="auto"/>
        <w:ind w:left="0" w:right="0" w:firstLine="700"/>
        <w:jc w:val="both"/>
      </w:pPr>
      <w:r>
        <w:rPr>
          <w:rStyle w:val="CharStyle10"/>
        </w:rPr>
        <w:t>описание товара, работы, услуги (при наличии такого описания в позиции).</w:t>
      </w:r>
    </w:p>
    <w:p>
      <w:pPr>
        <w:pStyle w:val="Style9"/>
        <w:keepNext w:val="0"/>
        <w:keepLines w:val="0"/>
        <w:widowControl w:val="0"/>
        <w:numPr>
          <w:ilvl w:val="0"/>
          <w:numId w:val="7"/>
        </w:numPr>
        <w:shd w:val="clear" w:color="auto" w:fill="auto"/>
        <w:tabs>
          <w:tab w:pos="1100" w:val="left"/>
        </w:tabs>
        <w:bidi w:val="0"/>
        <w:spacing w:before="0" w:after="0" w:line="257" w:lineRule="auto"/>
        <w:ind w:left="0" w:right="0" w:firstLine="700"/>
        <w:jc w:val="both"/>
      </w:pPr>
      <w:r>
        <w:rPr>
          <w:rStyle w:val="CharStyle10"/>
        </w:rPr>
        <w:t>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9"/>
        <w:keepNext w:val="0"/>
        <w:keepLines w:val="0"/>
        <w:widowControl w:val="0"/>
        <w:numPr>
          <w:ilvl w:val="0"/>
          <w:numId w:val="9"/>
        </w:numPr>
        <w:shd w:val="clear" w:color="auto" w:fill="auto"/>
        <w:tabs>
          <w:tab w:pos="1423" w:val="left"/>
        </w:tabs>
        <w:bidi w:val="0"/>
        <w:spacing w:before="0" w:after="0" w:line="257" w:lineRule="auto"/>
        <w:ind w:left="0" w:right="0" w:firstLine="700"/>
        <w:jc w:val="both"/>
      </w:pPr>
      <w:r>
        <w:rPr>
          <w:rStyle w:val="CharStyle10"/>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0"/>
          <w:lang w:val="en-US" w:eastAsia="en-US"/>
        </w:rPr>
        <w:t xml:space="preserve">25, 26 </w:t>
      </w:r>
      <w:r>
        <w:rPr>
          <w:rStyle w:val="CharStyle10"/>
        </w:rPr>
        <w:t xml:space="preserve">и </w:t>
      </w:r>
      <w:r>
        <w:rPr>
          <w:rStyle w:val="CharStyle10"/>
          <w:lang w:val="en-US" w:eastAsia="en-US"/>
        </w:rPr>
        <w:t xml:space="preserve">32 </w:t>
      </w:r>
      <w:r>
        <w:rPr>
          <w:rStyle w:val="CharStyle10"/>
        </w:rPr>
        <w:t xml:space="preserve">приложения </w:t>
      </w:r>
      <w:r>
        <w:rPr>
          <w:rStyle w:val="CharStyle10"/>
          <w:lang w:val="en-US" w:eastAsia="en-US"/>
        </w:rPr>
        <w:t xml:space="preserve">№1 </w:t>
      </w:r>
      <w:r>
        <w:rPr>
          <w:rStyle w:val="CharStyle10"/>
        </w:rPr>
        <w:t xml:space="preserve">к постановлению Правительства Российской Федерации от </w:t>
      </w:r>
      <w:r>
        <w:rPr>
          <w:rStyle w:val="CharStyle10"/>
          <w:lang w:val="en-US" w:eastAsia="en-US"/>
        </w:rPr>
        <w:t xml:space="preserve">23 </w:t>
      </w:r>
      <w:r>
        <w:rPr>
          <w:rStyle w:val="CharStyle10"/>
        </w:rPr>
        <w:t xml:space="preserve">декабря </w:t>
      </w:r>
      <w:r>
        <w:rPr>
          <w:rStyle w:val="CharStyle10"/>
          <w:lang w:val="en-US" w:eastAsia="en-US"/>
        </w:rPr>
        <w:t xml:space="preserve">2024 </w:t>
      </w:r>
      <w:r>
        <w:rPr>
          <w:rStyle w:val="CharStyle10"/>
        </w:rPr>
        <w:t xml:space="preserve">г. </w:t>
      </w:r>
      <w:r>
        <w:rPr>
          <w:rStyle w:val="CharStyle10"/>
          <w:lang w:val="en-US" w:eastAsia="en-US"/>
        </w:rPr>
        <w:t xml:space="preserve">№1875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Постановление№1875), позициях </w:t>
      </w:r>
      <w:r>
        <w:rPr>
          <w:rStyle w:val="CharStyle10"/>
          <w:lang w:val="en-US" w:eastAsia="en-US"/>
        </w:rPr>
        <w:t xml:space="preserve">191 - 361 </w:t>
      </w:r>
      <w:r>
        <w:rPr>
          <w:rStyle w:val="CharStyle10"/>
        </w:rPr>
        <w:t xml:space="preserve">приложения </w:t>
      </w:r>
      <w:r>
        <w:rPr>
          <w:rStyle w:val="CharStyle10"/>
          <w:lang w:val="en-US" w:eastAsia="en-US"/>
        </w:rPr>
        <w:t xml:space="preserve">№2 </w:t>
      </w:r>
      <w:r>
        <w:rPr>
          <w:rStyle w:val="CharStyle10"/>
        </w:rPr>
        <w:t xml:space="preserve">к Постановлению </w:t>
      </w:r>
      <w:r>
        <w:rPr>
          <w:rStyle w:val="CharStyle10"/>
          <w:lang w:val="en-US" w:eastAsia="en-US"/>
        </w:rPr>
        <w:t xml:space="preserve">№1875, </w:t>
      </w:r>
      <w:r>
        <w:rPr>
          <w:rStyle w:val="CharStyle10"/>
        </w:rPr>
        <w:t xml:space="preserve">применяются предусмотренные п.1 Постановления </w:t>
      </w:r>
      <w:r>
        <w:rPr>
          <w:rStyle w:val="CharStyle10"/>
          <w:lang w:val="en-US" w:eastAsia="en-US"/>
        </w:rPr>
        <w:t xml:space="preserve">№1875 </w:t>
      </w:r>
      <w:r>
        <w:rPr>
          <w:rStyle w:val="CharStyle10"/>
        </w:rPr>
        <w:t>запрет, ограничение соответственно;</w:t>
      </w:r>
    </w:p>
    <w:p>
      <w:pPr>
        <w:pStyle w:val="Style9"/>
        <w:keepNext w:val="0"/>
        <w:keepLines w:val="0"/>
        <w:widowControl w:val="0"/>
        <w:numPr>
          <w:ilvl w:val="0"/>
          <w:numId w:val="9"/>
        </w:numPr>
        <w:shd w:val="clear" w:color="auto" w:fill="auto"/>
        <w:tabs>
          <w:tab w:pos="1423" w:val="left"/>
        </w:tabs>
        <w:bidi w:val="0"/>
        <w:spacing w:before="0" w:after="0" w:line="257" w:lineRule="auto"/>
        <w:ind w:left="0" w:right="0" w:firstLine="700"/>
        <w:jc w:val="both"/>
      </w:pPr>
      <w:r>
        <w:rPr>
          <w:rStyle w:val="CharStyle10"/>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9"/>
        <w:keepNext w:val="0"/>
        <w:keepLines w:val="0"/>
        <w:widowControl w:val="0"/>
        <w:numPr>
          <w:ilvl w:val="0"/>
          <w:numId w:val="9"/>
        </w:numPr>
        <w:shd w:val="clear" w:color="auto" w:fill="auto"/>
        <w:tabs>
          <w:tab w:pos="1423" w:val="left"/>
        </w:tabs>
        <w:bidi w:val="0"/>
        <w:spacing w:before="0" w:after="0" w:line="257" w:lineRule="auto"/>
        <w:ind w:left="0" w:right="0" w:firstLine="700"/>
        <w:jc w:val="both"/>
      </w:pPr>
      <w:r>
        <w:rPr>
          <w:rStyle w:val="CharStyle10"/>
        </w:rPr>
        <w:t>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9"/>
        <w:keepNext w:val="0"/>
        <w:keepLines w:val="0"/>
        <w:widowControl w:val="0"/>
        <w:shd w:val="clear" w:color="auto" w:fill="auto"/>
        <w:bidi w:val="0"/>
        <w:spacing w:before="0" w:after="0" w:line="257" w:lineRule="auto"/>
        <w:ind w:left="0" w:right="0" w:firstLine="700"/>
        <w:jc w:val="both"/>
      </w:pPr>
      <w:r>
        <w:rPr>
          <w:rStyle w:val="CharStyle10"/>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9"/>
        <w:keepNext w:val="0"/>
        <w:keepLines w:val="0"/>
        <w:widowControl w:val="0"/>
        <w:shd w:val="clear" w:color="auto" w:fill="auto"/>
        <w:bidi w:val="0"/>
        <w:spacing w:before="0" w:after="0" w:line="257" w:lineRule="auto"/>
        <w:ind w:left="0" w:right="0" w:firstLine="700"/>
        <w:jc w:val="both"/>
      </w:pPr>
      <w:r>
        <w:rPr>
          <w:rStyle w:val="CharStyle10"/>
        </w:rPr>
        <w:t>Комиссией Управления установлено, что согласно извещению об осуществлении закупки Заказчиком закупаются следующие товары «Буферный</w:t>
      </w:r>
    </w:p>
    <w:p>
      <w:pPr>
        <w:pStyle w:val="Style9"/>
        <w:keepNext w:val="0"/>
        <w:keepLines w:val="0"/>
        <w:widowControl w:val="0"/>
        <w:shd w:val="clear" w:color="auto" w:fill="auto"/>
        <w:bidi w:val="0"/>
        <w:spacing w:before="0" w:after="0" w:line="262" w:lineRule="auto"/>
        <w:ind w:left="0" w:right="0" w:firstLine="0"/>
        <w:jc w:val="both"/>
      </w:pPr>
      <w:r>
        <w:rPr>
          <w:rStyle w:val="CharStyle10"/>
        </w:rPr>
        <w:t xml:space="preserve">разбавитель образцов ИВД, автоматические/полуавтоматические системы» КТРУ </w:t>
      </w:r>
      <w:r>
        <w:rPr>
          <w:rStyle w:val="CharStyle10"/>
          <w:lang w:val="en-US" w:eastAsia="en-US"/>
        </w:rPr>
        <w:t xml:space="preserve">21.20.23.110-00000016, </w:t>
      </w:r>
      <w:r>
        <w:rPr>
          <w:rStyle w:val="CharStyle10"/>
        </w:rPr>
        <w:t xml:space="preserve">«Аланинаминотрансфераза (АЛТ) ИВД, реагент» КТРУ </w:t>
      </w:r>
      <w:r>
        <w:rPr>
          <w:rStyle w:val="CharStyle10"/>
          <w:lang w:val="en-US" w:eastAsia="en-US"/>
        </w:rPr>
        <w:t xml:space="preserve">21.20.23.110-00010067, </w:t>
      </w:r>
      <w:r>
        <w:rPr>
          <w:rStyle w:val="CharStyle10"/>
        </w:rPr>
        <w:t xml:space="preserve">«Альбумин ИВД, реагент» КТРУ </w:t>
      </w:r>
      <w:r>
        <w:rPr>
          <w:rStyle w:val="CharStyle10"/>
          <w:lang w:val="en-US" w:eastAsia="en-US"/>
        </w:rPr>
        <w:t xml:space="preserve">21.20.23.110-00004336, </w:t>
      </w:r>
      <w:r>
        <w:rPr>
          <w:rStyle w:val="CharStyle10"/>
        </w:rPr>
        <w:t xml:space="preserve">«Общая амилаза ИВД, реагент» КТРУ </w:t>
      </w:r>
      <w:r>
        <w:rPr>
          <w:rStyle w:val="CharStyle10"/>
          <w:lang w:val="en-US" w:eastAsia="en-US"/>
        </w:rPr>
        <w:t xml:space="preserve">21.20.23.110-00003976, </w:t>
      </w:r>
      <w:r>
        <w:rPr>
          <w:rStyle w:val="CharStyle10"/>
        </w:rPr>
        <w:t xml:space="preserve">«Амилаза изоферменты ИВД, реагент» КТРУ </w:t>
      </w:r>
      <w:r>
        <w:rPr>
          <w:rStyle w:val="CharStyle10"/>
          <w:lang w:val="en-US" w:eastAsia="en-US"/>
        </w:rPr>
        <w:t xml:space="preserve">21.20.23.110-00003526, </w:t>
      </w:r>
      <w:r>
        <w:rPr>
          <w:rStyle w:val="CharStyle10"/>
        </w:rPr>
        <w:t xml:space="preserve">«Бета-гемолитический стрептококк группы А антитела к стрептолизину </w:t>
      </w:r>
      <w:r>
        <w:rPr>
          <w:rStyle w:val="CharStyle10"/>
          <w:lang w:val="en-US" w:eastAsia="en-US"/>
        </w:rPr>
        <w:t xml:space="preserve">O </w:t>
      </w:r>
      <w:r>
        <w:rPr>
          <w:rStyle w:val="CharStyle10"/>
        </w:rPr>
        <w:t xml:space="preserve">ИВД, реагент» КТРУ </w:t>
      </w:r>
      <w:r>
        <w:rPr>
          <w:rStyle w:val="CharStyle10"/>
          <w:lang w:val="en-US" w:eastAsia="en-US"/>
        </w:rPr>
        <w:t xml:space="preserve">21.20.23.110-00003704, </w:t>
      </w:r>
      <w:r>
        <w:rPr>
          <w:rStyle w:val="CharStyle10"/>
        </w:rPr>
        <w:t xml:space="preserve">«Общая аспартатаминотрансфераза ИВД, набор, ферментный спектрофотометрический анализ» ОКПД2 </w:t>
      </w:r>
      <w:r>
        <w:rPr>
          <w:rStyle w:val="CharStyle10"/>
          <w:lang w:val="en-US" w:eastAsia="en-US"/>
        </w:rPr>
        <w:t xml:space="preserve">21.20.23.111, </w:t>
      </w:r>
      <w:r>
        <w:rPr>
          <w:rStyle w:val="CharStyle10"/>
        </w:rPr>
        <w:t xml:space="preserve">«Общий белок ИВД, реагент» КТРУ </w:t>
      </w:r>
      <w:r>
        <w:rPr>
          <w:rStyle w:val="CharStyle10"/>
          <w:lang w:val="en-US" w:eastAsia="en-US"/>
        </w:rPr>
        <w:t xml:space="preserve">21.20.23.110-00004136, </w:t>
      </w:r>
      <w:r>
        <w:rPr>
          <w:rStyle w:val="CharStyle10"/>
        </w:rPr>
        <w:t xml:space="preserve">«Стандартный образец для калибровки/контроля лабораторных оптических приборов ИВД, одноразового использования» КТРУ </w:t>
      </w:r>
      <w:r>
        <w:rPr>
          <w:rStyle w:val="CharStyle10"/>
          <w:lang w:val="en-US" w:eastAsia="en-US"/>
        </w:rPr>
        <w:t xml:space="preserve">20.59.52.195-00000050, </w:t>
      </w:r>
      <w:r>
        <w:rPr>
          <w:rStyle w:val="CharStyle10"/>
        </w:rPr>
        <w:t xml:space="preserve">«Гамма-глутамилтрансфераза (ГГТ) ИВД, реагент» КТРУ </w:t>
      </w:r>
      <w:r>
        <w:rPr>
          <w:rStyle w:val="CharStyle10"/>
          <w:lang w:val="en-US" w:eastAsia="en-US"/>
        </w:rPr>
        <w:t xml:space="preserve">21.20.23.110-00003450, </w:t>
      </w:r>
      <w:r>
        <w:rPr>
          <w:rStyle w:val="CharStyle10"/>
        </w:rPr>
        <w:t xml:space="preserve">«Глюкоза ИВД, набор, ферментный спектрофотометрический анализ» КТРУ </w:t>
      </w:r>
      <w:r>
        <w:rPr>
          <w:rStyle w:val="CharStyle10"/>
          <w:lang w:val="en-US" w:eastAsia="en-US"/>
        </w:rPr>
        <w:t xml:space="preserve">21.20.23.110-00000187, </w:t>
      </w:r>
      <w:r>
        <w:rPr>
          <w:rStyle w:val="CharStyle10"/>
        </w:rPr>
        <w:t xml:space="preserve">«Железо ИВД, реагент» ОКПД2 </w:t>
      </w:r>
      <w:r>
        <w:rPr>
          <w:rStyle w:val="CharStyle10"/>
          <w:lang w:val="en-US" w:eastAsia="en-US"/>
        </w:rPr>
        <w:t xml:space="preserve">21.20.23.111, </w:t>
      </w:r>
      <w:r>
        <w:rPr>
          <w:rStyle w:val="CharStyle10"/>
        </w:rPr>
        <w:t xml:space="preserve">«Креатинкиназа МВ калибратор» ОКПД2 </w:t>
      </w:r>
      <w:r>
        <w:rPr>
          <w:rStyle w:val="CharStyle10"/>
          <w:lang w:val="en-US" w:eastAsia="en-US"/>
        </w:rPr>
        <w:t xml:space="preserve">21.20.23.111, </w:t>
      </w:r>
      <w:r>
        <w:rPr>
          <w:rStyle w:val="CharStyle10"/>
        </w:rPr>
        <w:t xml:space="preserve">«Множественные аналиты мочи ИВД, калибратор» КТРУ </w:t>
      </w:r>
      <w:r>
        <w:rPr>
          <w:rStyle w:val="CharStyle10"/>
          <w:lang w:val="en-US" w:eastAsia="en-US"/>
        </w:rPr>
        <w:t xml:space="preserve">20.59.52.195-00000579, </w:t>
      </w:r>
      <w:r>
        <w:rPr>
          <w:rStyle w:val="CharStyle10"/>
        </w:rPr>
        <w:t xml:space="preserve">«Микроальбумин ИВД, калибратор» КТРУ </w:t>
      </w:r>
      <w:r>
        <w:rPr>
          <w:rStyle w:val="CharStyle10"/>
          <w:lang w:val="en-US" w:eastAsia="en-US"/>
        </w:rPr>
        <w:t>20.59.52.195</w:t>
        <w:softHyphen/>
        <w:t xml:space="preserve">00000455, </w:t>
      </w:r>
      <w:r>
        <w:rPr>
          <w:rStyle w:val="CharStyle10"/>
        </w:rPr>
        <w:t xml:space="preserve">«С-реактивный белок (СРБ) ИВД, калибратор» КТРУ </w:t>
      </w:r>
      <w:r>
        <w:rPr>
          <w:rStyle w:val="CharStyle10"/>
          <w:lang w:val="en-US" w:eastAsia="en-US"/>
        </w:rPr>
        <w:t>21.20.23.110</w:t>
        <w:softHyphen/>
        <w:t xml:space="preserve">00002744, </w:t>
      </w:r>
      <w:r>
        <w:rPr>
          <w:rStyle w:val="CharStyle10"/>
        </w:rPr>
        <w:t xml:space="preserve">«Множественные аналиты клинической химии ИВД, калибратор» КТРУ </w:t>
      </w:r>
      <w:r>
        <w:rPr>
          <w:rStyle w:val="CharStyle10"/>
          <w:lang w:val="en-US" w:eastAsia="en-US"/>
        </w:rPr>
        <w:t xml:space="preserve">21.20.23.110-00002945, </w:t>
      </w:r>
      <w:r>
        <w:rPr>
          <w:rStyle w:val="CharStyle10"/>
        </w:rPr>
        <w:t xml:space="preserve">«Кальций </w:t>
      </w:r>
      <w:r>
        <w:rPr>
          <w:rStyle w:val="CharStyle10"/>
          <w:lang w:val="en-US" w:eastAsia="en-US"/>
        </w:rPr>
        <w:t xml:space="preserve">(Ca2+) </w:t>
      </w:r>
      <w:r>
        <w:rPr>
          <w:rStyle w:val="CharStyle10"/>
        </w:rPr>
        <w:t xml:space="preserve">ИВД, реагент» КТРУ </w:t>
      </w:r>
      <w:r>
        <w:rPr>
          <w:rStyle w:val="CharStyle10"/>
          <w:lang w:val="en-US" w:eastAsia="en-US"/>
        </w:rPr>
        <w:t xml:space="preserve">21.20.23.110-00003919, </w:t>
      </w:r>
      <w:r>
        <w:rPr>
          <w:rStyle w:val="CharStyle10"/>
        </w:rPr>
        <w:t xml:space="preserve">«Гомоцистеин ИВД, контрольный материал» КТРУ </w:t>
      </w:r>
      <w:r>
        <w:rPr>
          <w:rStyle w:val="CharStyle10"/>
          <w:lang w:val="en-US" w:eastAsia="en-US"/>
        </w:rPr>
        <w:t xml:space="preserve">21.20.23.110-00004929, </w:t>
      </w:r>
      <w:r>
        <w:rPr>
          <w:rStyle w:val="CharStyle10"/>
        </w:rPr>
        <w:t xml:space="preserve">«Множественные аналиты клинической химии ИВД, контрольный материал» КТРУ </w:t>
      </w:r>
      <w:r>
        <w:rPr>
          <w:rStyle w:val="CharStyle10"/>
          <w:lang w:val="en-US" w:eastAsia="en-US"/>
        </w:rPr>
        <w:t xml:space="preserve">21.20.23.110-00010158, </w:t>
      </w:r>
      <w:r>
        <w:rPr>
          <w:rStyle w:val="CharStyle10"/>
        </w:rPr>
        <w:t xml:space="preserve">«Множественные аналиты клинической химии ИВД, контрольный материал» КТРУ </w:t>
      </w:r>
      <w:r>
        <w:rPr>
          <w:rStyle w:val="CharStyle10"/>
          <w:lang w:val="en-US" w:eastAsia="en-US"/>
        </w:rPr>
        <w:t xml:space="preserve">21.20.23.110-00010158, </w:t>
      </w:r>
      <w:r>
        <w:rPr>
          <w:rStyle w:val="CharStyle10"/>
        </w:rPr>
        <w:t xml:space="preserve">«Креатинин ИВД, реагент </w:t>
      </w:r>
      <w:r>
        <w:rPr>
          <w:rStyle w:val="CharStyle10"/>
          <w:lang w:val="en-US" w:eastAsia="en-US"/>
        </w:rPr>
        <w:t xml:space="preserve">» </w:t>
      </w:r>
      <w:r>
        <w:rPr>
          <w:rStyle w:val="CharStyle10"/>
        </w:rPr>
        <w:t xml:space="preserve">КТРУ </w:t>
      </w:r>
      <w:r>
        <w:rPr>
          <w:rStyle w:val="CharStyle10"/>
          <w:lang w:val="en-US" w:eastAsia="en-US"/>
        </w:rPr>
        <w:t xml:space="preserve">21.20.23.110-00004623, </w:t>
      </w:r>
      <w:r>
        <w:rPr>
          <w:rStyle w:val="CharStyle10"/>
        </w:rPr>
        <w:t xml:space="preserve">«Креатинкиназа сердечный изофермент ИВД, реагент» КТРУ </w:t>
      </w:r>
      <w:r>
        <w:rPr>
          <w:rStyle w:val="CharStyle10"/>
          <w:lang w:val="en-US" w:eastAsia="en-US"/>
        </w:rPr>
        <w:t xml:space="preserve">21.20.23.110-00004601, </w:t>
      </w:r>
      <w:r>
        <w:rPr>
          <w:rStyle w:val="CharStyle10"/>
        </w:rPr>
        <w:t xml:space="preserve">«Общая креатинкиназа ИВД, реагент» КТРУ </w:t>
      </w:r>
      <w:r>
        <w:rPr>
          <w:rStyle w:val="CharStyle10"/>
          <w:lang w:val="en-US" w:eastAsia="en-US"/>
        </w:rPr>
        <w:t xml:space="preserve">21.20.23.110-00004046, </w:t>
      </w:r>
      <w:r>
        <w:rPr>
          <w:rStyle w:val="CharStyle10"/>
        </w:rPr>
        <w:t xml:space="preserve">«Общая лактатдегидрогеназа ИВД, реагент» КТРУ </w:t>
      </w:r>
      <w:r>
        <w:rPr>
          <w:rStyle w:val="CharStyle10"/>
          <w:lang w:val="en-US" w:eastAsia="en-US"/>
        </w:rPr>
        <w:t xml:space="preserve">21.20.23.110-00004103, </w:t>
      </w:r>
      <w:r>
        <w:rPr>
          <w:rStyle w:val="CharStyle10"/>
        </w:rPr>
        <w:t xml:space="preserve">«Ревматоидный фактор ИВД, калибратор» КТРУ </w:t>
      </w:r>
      <w:r>
        <w:rPr>
          <w:rStyle w:val="CharStyle10"/>
          <w:lang w:val="en-US" w:eastAsia="en-US"/>
        </w:rPr>
        <w:t xml:space="preserve">21.20.23.110-00010190, </w:t>
      </w:r>
      <w:r>
        <w:rPr>
          <w:rStyle w:val="CharStyle10"/>
        </w:rPr>
        <w:t xml:space="preserve">«Множественные аналиты мочи ИВД, контрольный материал» КТРУ </w:t>
      </w:r>
      <w:r>
        <w:rPr>
          <w:rStyle w:val="CharStyle10"/>
          <w:lang w:val="en-US" w:eastAsia="en-US"/>
        </w:rPr>
        <w:t xml:space="preserve">21.20.23.110-00010153, </w:t>
      </w:r>
      <w:r>
        <w:rPr>
          <w:rStyle w:val="CharStyle10"/>
        </w:rPr>
        <w:t xml:space="preserve">«Множественные аналиты мочи ИВД, контрольный материал» КТРУ </w:t>
      </w:r>
      <w:r>
        <w:rPr>
          <w:rStyle w:val="CharStyle10"/>
          <w:lang w:val="en-US" w:eastAsia="en-US"/>
        </w:rPr>
        <w:t xml:space="preserve">21.20.23.110-00010153, </w:t>
      </w:r>
      <w:r>
        <w:rPr>
          <w:rStyle w:val="CharStyle10"/>
        </w:rPr>
        <w:t xml:space="preserve">«Холестерин липопротеинов высокой плотности ИВД, калибратор» КТРУ </w:t>
      </w:r>
      <w:r>
        <w:rPr>
          <w:rStyle w:val="CharStyle10"/>
          <w:lang w:val="en-US" w:eastAsia="en-US"/>
        </w:rPr>
        <w:t xml:space="preserve">21.20.23.110-00002825, </w:t>
      </w:r>
      <w:r>
        <w:rPr>
          <w:rStyle w:val="CharStyle10"/>
        </w:rPr>
        <w:t xml:space="preserve">«Магний </w:t>
      </w:r>
      <w:r>
        <w:rPr>
          <w:rStyle w:val="CharStyle10"/>
          <w:lang w:val="en-US" w:eastAsia="en-US"/>
        </w:rPr>
        <w:t xml:space="preserve">(Mg2+) </w:t>
      </w:r>
      <w:r>
        <w:rPr>
          <w:rStyle w:val="CharStyle10"/>
        </w:rPr>
        <w:t xml:space="preserve">ИВД, набор, спектрофотометрический анализ» КТРУ </w:t>
      </w:r>
      <w:r>
        <w:rPr>
          <w:rStyle w:val="CharStyle10"/>
          <w:lang w:val="en-US" w:eastAsia="en-US"/>
        </w:rPr>
        <w:t xml:space="preserve">21.20.23.110-00011196, </w:t>
      </w:r>
      <w:r>
        <w:rPr>
          <w:rStyle w:val="CharStyle10"/>
        </w:rPr>
        <w:t xml:space="preserve">«Множественные аналиты клинической химии ИВД, контрольный материал» КТРУ </w:t>
      </w:r>
      <w:r>
        <w:rPr>
          <w:rStyle w:val="CharStyle10"/>
          <w:lang w:val="en-US" w:eastAsia="en-US"/>
        </w:rPr>
        <w:t>21.20.23.110</w:t>
        <w:softHyphen/>
        <w:t xml:space="preserve">00010158, </w:t>
      </w:r>
      <w:r>
        <w:rPr>
          <w:rStyle w:val="CharStyle10"/>
        </w:rPr>
        <w:t xml:space="preserve">«Множественные аналиты клинической химии ИВД, контрольный материал» КТРУ </w:t>
      </w:r>
      <w:r>
        <w:rPr>
          <w:rStyle w:val="CharStyle10"/>
          <w:lang w:val="en-US" w:eastAsia="en-US"/>
        </w:rPr>
        <w:t xml:space="preserve">21.20.23.110-00010158, </w:t>
      </w:r>
      <w:r>
        <w:rPr>
          <w:rStyle w:val="CharStyle10"/>
        </w:rPr>
        <w:t xml:space="preserve">«Мочевая кислота ИВД, реагент» КТРУ </w:t>
      </w:r>
      <w:r>
        <w:rPr>
          <w:rStyle w:val="CharStyle10"/>
          <w:lang w:val="en-US" w:eastAsia="en-US"/>
        </w:rPr>
        <w:t xml:space="preserve">21.20.23.110-00003265, </w:t>
      </w:r>
      <w:r>
        <w:rPr>
          <w:rStyle w:val="CharStyle10"/>
        </w:rPr>
        <w:t xml:space="preserve">«Мочевина/азот мочевины ИВД, реагент» КТРУ </w:t>
      </w:r>
      <w:r>
        <w:rPr>
          <w:rStyle w:val="CharStyle10"/>
          <w:lang w:val="en-US" w:eastAsia="en-US"/>
        </w:rPr>
        <w:t xml:space="preserve">21.20.23.110-00003619, </w:t>
      </w:r>
      <w:r>
        <w:rPr>
          <w:rStyle w:val="CharStyle10"/>
        </w:rPr>
        <w:t xml:space="preserve">«Множественные аналиты клинической химии ИВД, калибратор» КТРУ </w:t>
      </w:r>
      <w:r>
        <w:rPr>
          <w:rStyle w:val="CharStyle10"/>
          <w:lang w:val="en-US" w:eastAsia="en-US"/>
        </w:rPr>
        <w:t xml:space="preserve">21.20.23.110-00002953, </w:t>
      </w:r>
      <w:r>
        <w:rPr>
          <w:rStyle w:val="CharStyle10"/>
        </w:rPr>
        <w:t xml:space="preserve">«Множественные белки клинической химии ИВД, калибратор» КТРУ </w:t>
      </w:r>
      <w:r>
        <w:rPr>
          <w:rStyle w:val="CharStyle10"/>
          <w:lang w:val="en-US" w:eastAsia="en-US"/>
        </w:rPr>
        <w:t xml:space="preserve">21.20.23.110-00002911, </w:t>
      </w:r>
      <w:r>
        <w:rPr>
          <w:rStyle w:val="CharStyle10"/>
        </w:rPr>
        <w:t xml:space="preserve">«Стандартный образец для калибровки/контроля лабораторных оптических приборов ИВД, одноразового использования» КТРУ </w:t>
      </w:r>
      <w:r>
        <w:rPr>
          <w:rStyle w:val="CharStyle10"/>
          <w:lang w:val="en-US" w:eastAsia="en-US"/>
        </w:rPr>
        <w:t xml:space="preserve">20.59.52.195-00000050, </w:t>
      </w:r>
      <w:r>
        <w:rPr>
          <w:rStyle w:val="CharStyle10"/>
        </w:rPr>
        <w:t xml:space="preserve">«Неорганический фосфат </w:t>
      </w:r>
      <w:r>
        <w:rPr>
          <w:rStyle w:val="CharStyle10"/>
          <w:lang w:val="en-US" w:eastAsia="en-US"/>
        </w:rPr>
        <w:t>(PO43-)</w:t>
      </w:r>
    </w:p>
    <w:p>
      <w:pPr>
        <w:pStyle w:val="Style9"/>
        <w:keepNext w:val="0"/>
        <w:keepLines w:val="0"/>
        <w:widowControl w:val="0"/>
        <w:shd w:val="clear" w:color="auto" w:fill="auto"/>
        <w:bidi w:val="0"/>
        <w:spacing w:before="0" w:after="0" w:line="262" w:lineRule="auto"/>
        <w:ind w:left="0" w:right="0" w:firstLine="0"/>
        <w:jc w:val="both"/>
      </w:pPr>
      <w:r>
        <w:rPr>
          <w:rStyle w:val="CharStyle10"/>
        </w:rPr>
        <w:t xml:space="preserve">ИВД, набор, спектрофотометрический анализ» КТРУ </w:t>
      </w:r>
      <w:r>
        <w:rPr>
          <w:rStyle w:val="CharStyle10"/>
          <w:lang w:val="en-US" w:eastAsia="en-US"/>
        </w:rPr>
        <w:t xml:space="preserve">20.59.52.195-00000356, </w:t>
      </w:r>
      <w:r>
        <w:rPr>
          <w:rStyle w:val="CharStyle10"/>
        </w:rPr>
        <w:t xml:space="preserve">«Общий белок ИВД, реагент» КТРУ </w:t>
      </w:r>
      <w:r>
        <w:rPr>
          <w:rStyle w:val="CharStyle10"/>
          <w:lang w:val="en-US" w:eastAsia="en-US"/>
        </w:rPr>
        <w:t xml:space="preserve">21.20.23.110-00004136, </w:t>
      </w:r>
      <w:r>
        <w:rPr>
          <w:rStyle w:val="CharStyle10"/>
        </w:rPr>
        <w:t xml:space="preserve">«Общий билирубин ИВД, реагент» КТРУ </w:t>
      </w:r>
      <w:r>
        <w:rPr>
          <w:rStyle w:val="CharStyle10"/>
          <w:lang w:val="en-US" w:eastAsia="en-US"/>
        </w:rPr>
        <w:t xml:space="preserve">21.20.23.110-00004010, </w:t>
      </w:r>
      <w:r>
        <w:rPr>
          <w:rStyle w:val="CharStyle10"/>
        </w:rPr>
        <w:t xml:space="preserve">«Буферный промывающий раствор ИВД, автоматические/полуавтоматические системы» КТРУ </w:t>
      </w:r>
      <w:r>
        <w:rPr>
          <w:rStyle w:val="CharStyle10"/>
          <w:lang w:val="en-US" w:eastAsia="en-US"/>
        </w:rPr>
        <w:t>21.20.23.110</w:t>
        <w:softHyphen/>
        <w:t xml:space="preserve">00010738, </w:t>
      </w:r>
      <w:r>
        <w:rPr>
          <w:rStyle w:val="CharStyle10"/>
        </w:rPr>
        <w:t xml:space="preserve">«Буферный промывающий раствор ИВД, автоматические/полуавтоматические системы» КТРУ </w:t>
      </w:r>
      <w:r>
        <w:rPr>
          <w:rStyle w:val="CharStyle10"/>
          <w:lang w:val="en-US" w:eastAsia="en-US"/>
        </w:rPr>
        <w:t xml:space="preserve">21.20.23.110-00010738, </w:t>
      </w:r>
      <w:r>
        <w:rPr>
          <w:rStyle w:val="CharStyle10"/>
        </w:rPr>
        <w:t xml:space="preserve">«Конъюгированный (прямой, связанный) билирубин ИВД, реагент» КТРУ </w:t>
      </w:r>
      <w:r>
        <w:rPr>
          <w:rStyle w:val="CharStyle10"/>
          <w:lang w:val="en-US" w:eastAsia="en-US"/>
        </w:rPr>
        <w:t xml:space="preserve">21.20.23.110-00004689, </w:t>
      </w:r>
      <w:r>
        <w:rPr>
          <w:rStyle w:val="CharStyle10"/>
        </w:rPr>
        <w:t xml:space="preserve">«Гомоцистеин ИВД, реагент» КТРУ </w:t>
      </w:r>
      <w:r>
        <w:rPr>
          <w:rStyle w:val="CharStyle10"/>
          <w:lang w:val="en-US" w:eastAsia="en-US"/>
        </w:rPr>
        <w:t>21.20.23.110</w:t>
        <w:softHyphen/>
        <w:t xml:space="preserve">00003601, </w:t>
      </w:r>
      <w:r>
        <w:rPr>
          <w:rStyle w:val="CharStyle10"/>
        </w:rPr>
        <w:t xml:space="preserve">«Ревматоидный фактор ИВД, реагент» КТРУ </w:t>
      </w:r>
      <w:r>
        <w:rPr>
          <w:rStyle w:val="CharStyle10"/>
          <w:lang w:val="en-US" w:eastAsia="en-US"/>
        </w:rPr>
        <w:t xml:space="preserve">21.20.23.110-00004254, </w:t>
      </w:r>
      <w:r>
        <w:rPr>
          <w:rStyle w:val="CharStyle10"/>
        </w:rPr>
        <w:t xml:space="preserve">«Стандартный образец для калибровки/контроля лабораторных оптических приборов ИВД, одноразового использования» КТРУ </w:t>
      </w:r>
      <w:r>
        <w:rPr>
          <w:rStyle w:val="CharStyle10"/>
          <w:lang w:val="en-US" w:eastAsia="en-US"/>
        </w:rPr>
        <w:t xml:space="preserve">20.59.52.195-00000050, </w:t>
      </w:r>
      <w:r>
        <w:rPr>
          <w:rStyle w:val="CharStyle10"/>
        </w:rPr>
        <w:t xml:space="preserve">«С- реактивный белок (СРБ) ИВД, реагент» КТРУ </w:t>
      </w:r>
      <w:r>
        <w:rPr>
          <w:rStyle w:val="CharStyle10"/>
          <w:lang w:val="en-US" w:eastAsia="en-US"/>
        </w:rPr>
        <w:t xml:space="preserve">21.20.23.110-00003406, </w:t>
      </w:r>
      <w:r>
        <w:rPr>
          <w:rStyle w:val="CharStyle10"/>
        </w:rPr>
        <w:t xml:space="preserve">«Стандартный образец для калибровки/контроля лабораторных оптических приборов ИВД, одноразового использования» КТРУ </w:t>
      </w:r>
      <w:r>
        <w:rPr>
          <w:rStyle w:val="CharStyle10"/>
          <w:lang w:val="en-US" w:eastAsia="en-US"/>
        </w:rPr>
        <w:t xml:space="preserve">20.59.52.195-00000050, </w:t>
      </w:r>
      <w:r>
        <w:rPr>
          <w:rStyle w:val="CharStyle10"/>
        </w:rPr>
        <w:t xml:space="preserve">«Множественные аналиты клинической химии ИВД, контрольный материал» КТРУ </w:t>
      </w:r>
      <w:r>
        <w:rPr>
          <w:rStyle w:val="CharStyle10"/>
          <w:lang w:val="en-US" w:eastAsia="en-US"/>
        </w:rPr>
        <w:t xml:space="preserve">21.20.23.110-00010158, </w:t>
      </w:r>
      <w:r>
        <w:rPr>
          <w:rStyle w:val="CharStyle10"/>
        </w:rPr>
        <w:t xml:space="preserve">«Трансферрин ИВД, набор, нефелометрический/турбидиметрический анализ» КТРУ </w:t>
      </w:r>
      <w:r>
        <w:rPr>
          <w:rStyle w:val="CharStyle10"/>
          <w:lang w:val="en-US" w:eastAsia="en-US"/>
        </w:rPr>
        <w:t xml:space="preserve">21.20.23.110-00008234, </w:t>
      </w:r>
      <w:r>
        <w:rPr>
          <w:rStyle w:val="CharStyle10"/>
        </w:rPr>
        <w:t xml:space="preserve">«Триглицерид ИВД, реагент» КТРУ </w:t>
      </w:r>
      <w:r>
        <w:rPr>
          <w:rStyle w:val="CharStyle10"/>
          <w:lang w:val="en-US" w:eastAsia="en-US"/>
        </w:rPr>
        <w:t xml:space="preserve">21.20.23.110-00004242, </w:t>
      </w:r>
      <w:r>
        <w:rPr>
          <w:rStyle w:val="CharStyle10"/>
        </w:rPr>
        <w:t xml:space="preserve">«Ферритин ИВД, реагент» КТРУ </w:t>
      </w:r>
      <w:r>
        <w:rPr>
          <w:rStyle w:val="CharStyle10"/>
          <w:lang w:val="en-US" w:eastAsia="en-US"/>
        </w:rPr>
        <w:t xml:space="preserve">21.20.23.110-00003886, </w:t>
      </w:r>
      <w:r>
        <w:rPr>
          <w:rStyle w:val="CharStyle10"/>
        </w:rPr>
        <w:t xml:space="preserve">«Холестерин липопротеинов высокой плотности ИВД, реагент» КТРУ </w:t>
      </w:r>
      <w:r>
        <w:rPr>
          <w:rStyle w:val="CharStyle10"/>
          <w:lang w:val="en-US" w:eastAsia="en-US"/>
        </w:rPr>
        <w:t xml:space="preserve">21.20.23.110-00003304, </w:t>
      </w:r>
      <w:r>
        <w:rPr>
          <w:rStyle w:val="CharStyle10"/>
        </w:rPr>
        <w:t xml:space="preserve">«Общий холестерин ИВД, набор, ферментный спектрофотометрический анализ» КТРУ </w:t>
      </w:r>
      <w:r>
        <w:rPr>
          <w:rStyle w:val="CharStyle10"/>
          <w:lang w:val="en-US" w:eastAsia="en-US"/>
        </w:rPr>
        <w:t>21.20.23.110</w:t>
        <w:softHyphen/>
        <w:t xml:space="preserve">00000300, </w:t>
      </w:r>
      <w:r>
        <w:rPr>
          <w:rStyle w:val="CharStyle10"/>
        </w:rPr>
        <w:t xml:space="preserve">«Общая щелочная фосфатаза (ЩФ) ИВД, реагент» КТРУ </w:t>
      </w:r>
      <w:r>
        <w:rPr>
          <w:rStyle w:val="CharStyle10"/>
          <w:lang w:val="en-US" w:eastAsia="en-US"/>
        </w:rPr>
        <w:t>21.20.23.110</w:t>
        <w:softHyphen/>
        <w:t xml:space="preserve">00003959, </w:t>
      </w:r>
      <w:r>
        <w:rPr>
          <w:rStyle w:val="CharStyle10"/>
        </w:rPr>
        <w:t xml:space="preserve">«Микроальбумин ИВД, реагент» КТРУ </w:t>
      </w:r>
      <w:r>
        <w:rPr>
          <w:rStyle w:val="CharStyle10"/>
          <w:lang w:val="en-US" w:eastAsia="en-US"/>
        </w:rPr>
        <w:t>21.20.23.110-00005923.</w:t>
      </w:r>
    </w:p>
    <w:p>
      <w:pPr>
        <w:pStyle w:val="Style9"/>
        <w:keepNext w:val="0"/>
        <w:keepLines w:val="0"/>
        <w:widowControl w:val="0"/>
        <w:shd w:val="clear" w:color="auto" w:fill="auto"/>
        <w:bidi w:val="0"/>
        <w:spacing w:before="0" w:after="0" w:line="262" w:lineRule="auto"/>
        <w:ind w:left="0" w:right="0" w:firstLine="700"/>
        <w:jc w:val="both"/>
      </w:pPr>
      <w:r>
        <w:rPr>
          <w:rStyle w:val="CharStyle10"/>
        </w:rPr>
        <w:t>Вместе с этим Комиссия Управления отмечает следующее.</w:t>
      </w:r>
    </w:p>
    <w:p>
      <w:pPr>
        <w:pStyle w:val="Style9"/>
        <w:keepNext w:val="0"/>
        <w:keepLines w:val="0"/>
        <w:widowControl w:val="0"/>
        <w:shd w:val="clear" w:color="auto" w:fill="auto"/>
        <w:bidi w:val="0"/>
        <w:spacing w:before="0" w:after="0" w:line="262" w:lineRule="auto"/>
        <w:ind w:left="0" w:right="0" w:firstLine="700"/>
        <w:jc w:val="both"/>
      </w:pPr>
      <w:r>
        <w:rPr>
          <w:rStyle w:val="CharStyle10"/>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9"/>
        <w:keepNext w:val="0"/>
        <w:keepLines w:val="0"/>
        <w:widowControl w:val="0"/>
        <w:shd w:val="clear" w:color="auto" w:fill="auto"/>
        <w:bidi w:val="0"/>
        <w:spacing w:before="0" w:after="0" w:line="262" w:lineRule="auto"/>
        <w:ind w:left="0" w:right="0" w:firstLine="700"/>
        <w:jc w:val="both"/>
      </w:pPr>
      <w:r>
        <w:rPr>
          <w:rStyle w:val="CharStyle10"/>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9"/>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10"/>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9"/>
        <w:keepNext w:val="0"/>
        <w:keepLines w:val="0"/>
        <w:widowControl w:val="0"/>
        <w:numPr>
          <w:ilvl w:val="0"/>
          <w:numId w:val="11"/>
        </w:numPr>
        <w:shd w:val="clear" w:color="auto" w:fill="auto"/>
        <w:tabs>
          <w:tab w:pos="1421" w:val="left"/>
        </w:tabs>
        <w:bidi w:val="0"/>
        <w:spacing w:before="0" w:after="0" w:line="259" w:lineRule="auto"/>
        <w:ind w:left="0" w:right="0" w:firstLine="700"/>
        <w:jc w:val="both"/>
      </w:pPr>
      <w:r>
        <w:rPr>
          <w:rStyle w:val="CharStyle10"/>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9"/>
        <w:keepNext w:val="0"/>
        <w:keepLines w:val="0"/>
        <w:widowControl w:val="0"/>
        <w:numPr>
          <w:ilvl w:val="0"/>
          <w:numId w:val="11"/>
        </w:numPr>
        <w:shd w:val="clear" w:color="auto" w:fill="auto"/>
        <w:tabs>
          <w:tab w:pos="1421" w:val="left"/>
        </w:tabs>
        <w:bidi w:val="0"/>
        <w:spacing w:before="0" w:after="0" w:line="259" w:lineRule="auto"/>
        <w:ind w:left="0" w:right="0" w:firstLine="700"/>
        <w:jc w:val="both"/>
      </w:pPr>
      <w:r>
        <w:rPr>
          <w:rStyle w:val="CharStyle10"/>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9"/>
        <w:keepNext w:val="0"/>
        <w:keepLines w:val="0"/>
        <w:widowControl w:val="0"/>
        <w:shd w:val="clear" w:color="auto" w:fill="auto"/>
        <w:bidi w:val="0"/>
        <w:spacing w:before="0" w:after="0" w:line="259" w:lineRule="auto"/>
        <w:ind w:left="0" w:right="0" w:firstLine="700"/>
        <w:jc w:val="both"/>
      </w:pPr>
      <w:r>
        <w:rPr>
          <w:rStyle w:val="CharStyle10"/>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9"/>
        <w:keepNext w:val="0"/>
        <w:keepLines w:val="0"/>
        <w:widowControl w:val="0"/>
        <w:shd w:val="clear" w:color="auto" w:fill="auto"/>
        <w:bidi w:val="0"/>
        <w:spacing w:before="0" w:after="0" w:line="259" w:lineRule="auto"/>
        <w:ind w:left="0" w:right="0" w:firstLine="700"/>
        <w:jc w:val="both"/>
      </w:pPr>
      <w:r>
        <w:rPr>
          <w:rStyle w:val="CharStyle10"/>
        </w:rPr>
        <w:t xml:space="preserve">В соответствии с ч.1 ст. </w:t>
      </w:r>
      <w:r>
        <w:rPr>
          <w:rStyle w:val="CharStyle10"/>
          <w:lang w:val="en-US" w:eastAsia="en-US"/>
        </w:rPr>
        <w:t xml:space="preserve">106 </w:t>
      </w:r>
      <w:r>
        <w:rPr>
          <w:rStyle w:val="CharStyle10"/>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59" w:lineRule="auto"/>
        <w:ind w:left="0" w:right="0" w:firstLine="700"/>
        <w:jc w:val="both"/>
      </w:pPr>
      <w:r>
        <w:rPr>
          <w:rStyle w:val="CharStyle10"/>
        </w:rPr>
        <w:t>Согласно возражениям Заказчика Заказчиком не нарушены Правила использования КТРУ, в извещении применяются КТРУ, а также ОКПД2 в связи с отсутствием данных товаров в КТРУ.</w:t>
      </w:r>
    </w:p>
    <w:p>
      <w:pPr>
        <w:pStyle w:val="Style9"/>
        <w:keepNext w:val="0"/>
        <w:keepLines w:val="0"/>
        <w:widowControl w:val="0"/>
        <w:shd w:val="clear" w:color="auto" w:fill="auto"/>
        <w:bidi w:val="0"/>
        <w:spacing w:before="0" w:after="0" w:line="259" w:lineRule="auto"/>
        <w:ind w:left="0" w:right="0" w:firstLine="700"/>
        <w:jc w:val="both"/>
      </w:pPr>
      <w:r>
        <w:rPr>
          <w:rStyle w:val="CharStyle10"/>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требования к характеристикам изделия, установленные Заказчиком и не предусмотренные используемой позицией КТРУ, указание на иные позиции КТРУ, которые соответствуют закупаемому Заказчиком изделию, а также не указано на конкретные изделия, которые по мнению Заявителя запрещено закупать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9"/>
        <w:keepNext w:val="0"/>
        <w:keepLines w:val="0"/>
        <w:widowControl w:val="0"/>
        <w:shd w:val="clear" w:color="auto" w:fill="auto"/>
        <w:bidi w:val="0"/>
        <w:spacing w:before="0" w:after="0" w:line="259" w:lineRule="auto"/>
        <w:ind w:left="0" w:right="0" w:firstLine="700"/>
        <w:jc w:val="both"/>
      </w:pPr>
      <w:r>
        <w:rPr>
          <w:rStyle w:val="CharStyle10"/>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9"/>
        <w:keepNext w:val="0"/>
        <w:keepLines w:val="0"/>
        <w:widowControl w:val="0"/>
        <w:numPr>
          <w:ilvl w:val="0"/>
          <w:numId w:val="13"/>
        </w:numPr>
        <w:shd w:val="clear" w:color="auto" w:fill="auto"/>
        <w:tabs>
          <w:tab w:pos="1090" w:val="left"/>
        </w:tabs>
        <w:bidi w:val="0"/>
        <w:spacing w:before="0" w:after="0" w:line="259" w:lineRule="auto"/>
        <w:ind w:left="0" w:right="0" w:firstLine="700"/>
        <w:jc w:val="both"/>
      </w:pPr>
      <w:r>
        <w:rPr>
          <w:rStyle w:val="CharStyle10"/>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w:t>
      </w:r>
    </w:p>
    <w:p>
      <w:pPr>
        <w:pStyle w:val="Style9"/>
        <w:keepNext w:val="0"/>
        <w:keepLines w:val="0"/>
        <w:widowControl w:val="0"/>
        <w:shd w:val="clear" w:color="auto" w:fill="auto"/>
        <w:bidi w:val="0"/>
        <w:spacing w:before="0" w:after="40" w:line="240" w:lineRule="auto"/>
        <w:ind w:left="0" w:right="0" w:firstLine="0"/>
        <w:jc w:val="both"/>
      </w:pPr>
      <w:r>
        <w:rPr>
          <w:rStyle w:val="CharStyle10"/>
        </w:rPr>
        <w:t>организации.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10"/>
          <w:lang w:val="en-US" w:eastAsia="en-US"/>
        </w:rPr>
        <w:t xml:space="preserve">4, 5, 18, 30, 42, 49, 54 </w:t>
      </w:r>
      <w:r>
        <w:rPr>
          <w:rStyle w:val="CharStyle10"/>
        </w:rPr>
        <w:t xml:space="preserve">и </w:t>
      </w:r>
      <w:r>
        <w:rPr>
          <w:rStyle w:val="CharStyle10"/>
          <w:lang w:val="en-US" w:eastAsia="en-US"/>
        </w:rPr>
        <w:t xml:space="preserve">59 </w:t>
      </w:r>
      <w:r>
        <w:rPr>
          <w:rStyle w:val="CharStyle10"/>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Согласно ч.5 ст.31 Закона о контрактной системе информация об установленных требованиях в соответствии с частями </w:t>
      </w:r>
      <w:r>
        <w:rPr>
          <w:rStyle w:val="CharStyle10"/>
          <w:lang w:val="en-US" w:eastAsia="en-US"/>
        </w:rPr>
        <w:t xml:space="preserve">1, 1.1, 2 </w:t>
      </w:r>
      <w:r>
        <w:rPr>
          <w:rStyle w:val="CharStyle10"/>
        </w:rPr>
        <w:t xml:space="preserve">и </w:t>
      </w:r>
      <w:r>
        <w:rPr>
          <w:rStyle w:val="CharStyle10"/>
          <w:lang w:val="en-US" w:eastAsia="en-US"/>
        </w:rPr>
        <w:t xml:space="preserve">2.1 </w:t>
      </w:r>
      <w:r>
        <w:rPr>
          <w:rStyle w:val="CharStyle10"/>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соответствии с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10"/>
          <w:lang w:val="en-US" w:eastAsia="en-US"/>
        </w:rPr>
        <w:t xml:space="preserve">2.1 </w:t>
      </w:r>
      <w:r>
        <w:rPr>
          <w:rStyle w:val="CharStyle10"/>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ч.1.1 ст. </w:t>
      </w:r>
      <w:r>
        <w:rPr>
          <w:rStyle w:val="CharStyle10"/>
          <w:lang w:val="en-US" w:eastAsia="en-US"/>
        </w:rPr>
        <w:t xml:space="preserve">31 </w:t>
      </w:r>
      <w:r>
        <w:rPr>
          <w:rStyle w:val="CharStyle10"/>
        </w:rPr>
        <w:t>Закона о контрактной системе (при наличии такого требования).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9"/>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10"/>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ходе заседания Комиссии Управления установлено, что в извещении не содержится безальтернативное указание на товарный знак единственного</w:t>
      </w:r>
    </w:p>
    <w:p>
      <w:pPr>
        <w:pStyle w:val="Style9"/>
        <w:keepNext w:val="0"/>
        <w:keepLines w:val="0"/>
        <w:widowControl w:val="0"/>
        <w:shd w:val="clear" w:color="auto" w:fill="auto"/>
        <w:bidi w:val="0"/>
        <w:spacing w:before="0" w:after="0" w:line="240" w:lineRule="auto"/>
        <w:ind w:left="0" w:right="0" w:firstLine="0"/>
        <w:jc w:val="both"/>
      </w:pPr>
      <w:r>
        <w:rPr>
          <w:rStyle w:val="CharStyle10"/>
        </w:rPr>
        <w:t>производителя и/или указание на конкретную модель единственного производителя.</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заседании Комиссии Управления представитель Заказчика пояснил, что требования к закупаемым реагентам установлены Заказчиком в соответствии с потребностью учреждения, при этом совокупности требований извещения, вопреки доводам жалобы, соответствуют изделия различных производителей.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обоснование своей позиции Заказчик представил на обозрение Комиссии сравнительную таблицу с регистрационными удостоверениями, свидетельствующей о наличии нескольких производителей по закупаемым реагентам.</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позволяющих Комиссии Управления установить факт соответствия совокупности требований извещения товарам конкретного производителя, в том числе, в жалобе не представлена информация о таком товаре, либо информации о производителе такого товара, о требованиях к характеристикам закупаемого товара, установленных в описании объекта закупки, которые не позволяют предложить к поставке товар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Кроме того, в составе жалобы Заявителем также не представлено каких-либо сведений, указывающих на несоответствие каких-либо товаров требованиям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Иного на заседании Комиссии Управления не выявлено.</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9"/>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10"/>
        </w:rPr>
        <w:t xml:space="preserve">Также в составе жалобы Заявитель указывает, что Заказчик установил (не применил) ограничение допуска по Постановлению Правительства РФ от </w:t>
      </w:r>
      <w:r>
        <w:rPr>
          <w:rStyle w:val="CharStyle10"/>
          <w:lang w:val="en-US" w:eastAsia="en-US"/>
        </w:rPr>
        <w:t xml:space="preserve">23.12.2024 №1875 </w:t>
      </w:r>
      <w:r>
        <w:rPr>
          <w:rStyle w:val="CharStyle10"/>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№1875), </w:t>
      </w:r>
      <w:r>
        <w:rPr>
          <w:rStyle w:val="CharStyle10"/>
        </w:rPr>
        <w:t>однако технические характеристики в извещении не соответствуют ни одному товару российского производства.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силу ч. </w:t>
      </w:r>
      <w:r>
        <w:rPr>
          <w:rStyle w:val="CharStyle10"/>
          <w:lang w:val="en-US" w:eastAsia="en-US"/>
        </w:rPr>
        <w:t xml:space="preserve">1.1 </w:t>
      </w:r>
      <w:r>
        <w:rPr>
          <w:rStyle w:val="CharStyle10"/>
        </w:rPr>
        <w:t xml:space="preserve">ст. </w:t>
      </w:r>
      <w:r>
        <w:rPr>
          <w:rStyle w:val="CharStyle10"/>
          <w:lang w:val="en-US" w:eastAsia="en-US"/>
        </w:rPr>
        <w:t xml:space="preserve">33 </w:t>
      </w:r>
      <w:r>
        <w:rPr>
          <w:rStyle w:val="CharStyle10"/>
        </w:rPr>
        <w:t>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предусмотренные п. </w:t>
      </w:r>
      <w:r>
        <w:rPr>
          <w:rStyle w:val="CharStyle10"/>
          <w:lang w:val="en-US" w:eastAsia="en-US"/>
        </w:rPr>
        <w:t xml:space="preserve">1 </w:t>
      </w:r>
      <w:r>
        <w:rPr>
          <w:rStyle w:val="CharStyle10"/>
        </w:rPr>
        <w:t xml:space="preserve">ч. </w:t>
      </w:r>
      <w:r>
        <w:rPr>
          <w:rStyle w:val="CharStyle10"/>
          <w:lang w:val="en-US" w:eastAsia="en-US"/>
        </w:rPr>
        <w:t xml:space="preserve">2 </w:t>
      </w:r>
      <w:r>
        <w:rPr>
          <w:rStyle w:val="CharStyle10"/>
        </w:rPr>
        <w:t xml:space="preserve">ст. </w:t>
      </w:r>
      <w:r>
        <w:rPr>
          <w:rStyle w:val="CharStyle10"/>
          <w:lang w:val="en-US" w:eastAsia="en-US"/>
        </w:rPr>
        <w:t xml:space="preserve">14 </w:t>
      </w:r>
      <w:r>
        <w:rPr>
          <w:rStyle w:val="CharStyle10"/>
        </w:rPr>
        <w:t>Закона о контрактной системе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Вместе с тем пп. «а» п. </w:t>
      </w:r>
      <w:r>
        <w:rPr>
          <w:rStyle w:val="CharStyle10"/>
          <w:lang w:val="en-US" w:eastAsia="en-US"/>
        </w:rPr>
        <w:t xml:space="preserve">7 </w:t>
      </w:r>
      <w:r>
        <w:rPr>
          <w:rStyle w:val="CharStyle10"/>
        </w:rPr>
        <w:t xml:space="preserve">Постановления </w:t>
      </w:r>
      <w:r>
        <w:rPr>
          <w:rStyle w:val="CharStyle10"/>
          <w:lang w:val="en-US" w:eastAsia="en-US"/>
        </w:rPr>
        <w:t xml:space="preserve">№ 1875 </w:t>
      </w:r>
      <w:r>
        <w:rPr>
          <w:rStyle w:val="CharStyle10"/>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-для служебного пользования;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-при осуществлении закупки товаров, указанных в позициях </w:t>
      </w:r>
      <w:r>
        <w:rPr>
          <w:rStyle w:val="CharStyle10"/>
          <w:lang w:val="en-US" w:eastAsia="en-US"/>
        </w:rPr>
        <w:t xml:space="preserve">1 - 145 </w:t>
      </w:r>
      <w:r>
        <w:rPr>
          <w:rStyle w:val="CharStyle10"/>
        </w:rPr>
        <w:t xml:space="preserve">приложения </w:t>
      </w:r>
      <w:r>
        <w:rPr>
          <w:rStyle w:val="CharStyle10"/>
          <w:lang w:val="en-US" w:eastAsia="en-US"/>
        </w:rPr>
        <w:t xml:space="preserve">№ 1 </w:t>
      </w:r>
      <w:r>
        <w:rPr>
          <w:rStyle w:val="CharStyle10"/>
        </w:rPr>
        <w:t xml:space="preserve">к настоящему постановлению, </w:t>
      </w:r>
      <w:r>
        <w:rPr>
          <w:rStyle w:val="CharStyle10"/>
          <w:lang w:val="en-US" w:eastAsia="en-US"/>
        </w:rPr>
        <w:t xml:space="preserve">- </w:t>
      </w:r>
      <w:r>
        <w:rPr>
          <w:rStyle w:val="CharStyle10"/>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п.5 Постановления </w:t>
      </w:r>
      <w:r>
        <w:rPr>
          <w:rStyle w:val="CharStyle10"/>
          <w:lang w:val="en-US" w:eastAsia="en-US"/>
        </w:rPr>
        <w:t xml:space="preserve">№ 1875 </w:t>
      </w:r>
      <w:r>
        <w:rPr>
          <w:rStyle w:val="CharStyle10"/>
        </w:rPr>
        <w:t>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-при осуществлении закупки товаров, указанных в позициях </w:t>
      </w:r>
      <w:r>
        <w:rPr>
          <w:rStyle w:val="CharStyle10"/>
          <w:lang w:val="en-US" w:eastAsia="en-US"/>
        </w:rPr>
        <w:t xml:space="preserve">1 - 433 </w:t>
      </w:r>
      <w:r>
        <w:rPr>
          <w:rStyle w:val="CharStyle10"/>
        </w:rPr>
        <w:t xml:space="preserve">приложения </w:t>
      </w:r>
      <w:r>
        <w:rPr>
          <w:rStyle w:val="CharStyle10"/>
          <w:lang w:val="en-US" w:eastAsia="en-US"/>
        </w:rPr>
        <w:t xml:space="preserve">№ 2 </w:t>
      </w:r>
      <w:r>
        <w:rPr>
          <w:rStyle w:val="CharStyle10"/>
        </w:rPr>
        <w:t xml:space="preserve">к Постановлению </w:t>
      </w:r>
      <w:r>
        <w:rPr>
          <w:rStyle w:val="CharStyle10"/>
          <w:lang w:val="en-US" w:eastAsia="en-US"/>
        </w:rPr>
        <w:t xml:space="preserve">№ 1875, - </w:t>
      </w:r>
      <w:r>
        <w:rPr>
          <w:rStyle w:val="CharStyle10"/>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0"/>
          <w:lang w:val="en-US" w:eastAsia="en-US"/>
        </w:rPr>
        <w:t xml:space="preserve">034-2014 </w:t>
      </w:r>
      <w:r>
        <w:rPr>
          <w:rStyle w:val="CharStyle10"/>
        </w:rPr>
        <w:t xml:space="preserve">(КПЕС </w:t>
      </w:r>
      <w:r>
        <w:rPr>
          <w:rStyle w:val="CharStyle10"/>
          <w:lang w:val="en-US" w:eastAsia="en-US"/>
        </w:rPr>
        <w:t xml:space="preserve">2008), </w:t>
      </w:r>
      <w:r>
        <w:rPr>
          <w:rStyle w:val="CharStyle10"/>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-при осуществлении закупки товаров, не указанных в позициях </w:t>
      </w:r>
      <w:r>
        <w:rPr>
          <w:rStyle w:val="CharStyle10"/>
          <w:lang w:val="en-US" w:eastAsia="en-US"/>
        </w:rPr>
        <w:t xml:space="preserve">1 - 145 </w:t>
      </w:r>
      <w:r>
        <w:rPr>
          <w:rStyle w:val="CharStyle10"/>
        </w:rPr>
        <w:t xml:space="preserve">приложения </w:t>
      </w:r>
      <w:r>
        <w:rPr>
          <w:rStyle w:val="CharStyle10"/>
          <w:lang w:val="en-US" w:eastAsia="en-US"/>
        </w:rPr>
        <w:t xml:space="preserve">№ 1 </w:t>
      </w:r>
      <w:r>
        <w:rPr>
          <w:rStyle w:val="CharStyle10"/>
        </w:rPr>
        <w:t xml:space="preserve">к настоящему постановлению, позициях </w:t>
      </w:r>
      <w:r>
        <w:rPr>
          <w:rStyle w:val="CharStyle10"/>
          <w:lang w:val="en-US" w:eastAsia="en-US"/>
        </w:rPr>
        <w:t xml:space="preserve">1 - 433 </w:t>
      </w:r>
      <w:r>
        <w:rPr>
          <w:rStyle w:val="CharStyle10"/>
        </w:rPr>
        <w:t xml:space="preserve">приложения </w:t>
      </w:r>
      <w:r>
        <w:rPr>
          <w:rStyle w:val="CharStyle10"/>
          <w:lang w:val="en-US" w:eastAsia="en-US"/>
        </w:rPr>
        <w:t xml:space="preserve">№ 2 </w:t>
      </w:r>
      <w:r>
        <w:rPr>
          <w:rStyle w:val="CharStyle10"/>
        </w:rPr>
        <w:t xml:space="preserve">к Постановлению </w:t>
      </w:r>
      <w:r>
        <w:rPr>
          <w:rStyle w:val="CharStyle10"/>
          <w:lang w:val="en-US" w:eastAsia="en-US"/>
        </w:rPr>
        <w:t xml:space="preserve">№ 1875, - </w:t>
      </w:r>
      <w:r>
        <w:rPr>
          <w:rStyle w:val="CharStyle10"/>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Комиссией Управления установлено, что согласно извещению Заказчиком установлено преимущество в соответствии с Постановлением </w:t>
      </w:r>
      <w:r>
        <w:rPr>
          <w:rStyle w:val="CharStyle10"/>
          <w:lang w:val="en-US" w:eastAsia="en-US"/>
        </w:rPr>
        <w:t>№ 1875.</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заседании Комиссии Управления представителем Заказчика не представлены сведения о товарах российского производства, соответствующих совокупности требований извещения, при этом в структурированной части извещения не размещена декларация факта отсутствия на территории Российской Федерации производства товара с характеристиками, соответствующими потребности заказчика.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Таким образом, Комиссия Управления, в отсутствие сведений о товарах российского производства, приходит к выводу, что Заказчиком не размещена декларация, предусмотренная пп.«а» п.7 Постановления </w:t>
      </w:r>
      <w:r>
        <w:rPr>
          <w:rStyle w:val="CharStyle10"/>
          <w:lang w:val="en-US" w:eastAsia="en-US"/>
        </w:rPr>
        <w:t>№1875.</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приходит к выводу о нарушении Заказчиком ч.1 ст.14, ч.1.1 ст.33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700"/>
        <w:jc w:val="both"/>
      </w:pPr>
      <w:r>
        <w:rPr>
          <w:rStyle w:val="CharStyle10"/>
        </w:rPr>
        <w:t>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w:t>
      </w:r>
    </w:p>
    <w:p>
      <w:pPr>
        <w:pStyle w:val="Style9"/>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10"/>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9"/>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10"/>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sectPr>
          <w:headerReference w:type="default" r:id="rId17"/>
          <w:footerReference w:type="default" r:id="rId18"/>
          <w:footnotePr>
            <w:pos w:val="pageBottom"/>
            <w:numFmt w:val="decimal"/>
            <w:numRestart w:val="continuous"/>
          </w:footnotePr>
          <w:pgSz w:w="11900" w:h="16840"/>
          <w:pgMar w:top="826" w:right="546" w:bottom="1106" w:left="1102" w:header="0" w:footer="3" w:gutter="0"/>
          <w:cols w:space="720"/>
          <w:noEndnote/>
          <w:rtlGutter w:val="0"/>
          <w:docGrid w:linePitch="360"/>
        </w:sectPr>
      </w:pPr>
      <w:r>
        <w:rPr>
          <w:rStyle w:val="CharStyle10"/>
        </w:rPr>
        <w:t>Комиссия Управления отмечает, что Законом о контрактной системе не предусмотрена обязанность Заказчика размещать в извещении сведения о</w:t>
      </w:r>
    </w:p>
    <w:p>
      <w:pPr>
        <w:pStyle w:val="Style9"/>
        <w:keepNext w:val="0"/>
        <w:keepLines w:val="0"/>
        <w:widowControl w:val="0"/>
        <w:shd w:val="clear" w:color="auto" w:fill="auto"/>
        <w:bidi w:val="0"/>
        <w:spacing w:before="0" w:after="0" w:line="240" w:lineRule="auto"/>
        <w:ind w:left="0" w:right="0" w:firstLine="0"/>
        <w:jc w:val="both"/>
      </w:pPr>
      <w:r>
        <w:rPr>
          <w:rStyle w:val="CharStyle10"/>
        </w:rPr>
        <w:t>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9"/>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10"/>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9"/>
        <w:keepNext w:val="0"/>
        <w:keepLines w:val="0"/>
        <w:widowControl w:val="0"/>
        <w:numPr>
          <w:ilvl w:val="1"/>
          <w:numId w:val="13"/>
        </w:numPr>
        <w:shd w:val="clear" w:color="auto" w:fill="auto"/>
        <w:tabs>
          <w:tab w:pos="1262" w:val="left"/>
        </w:tabs>
        <w:bidi w:val="0"/>
        <w:spacing w:before="0" w:after="0" w:line="240" w:lineRule="auto"/>
        <w:ind w:left="0" w:right="0" w:firstLine="700"/>
        <w:jc w:val="both"/>
      </w:pPr>
      <w:r>
        <w:rPr>
          <w:rStyle w:val="CharStyle10"/>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ч.3 ст.42 Закона о контрактной системе извещение об осуществлении закупки размещается при проведении:</w:t>
      </w:r>
    </w:p>
    <w:p>
      <w:pPr>
        <w:pStyle w:val="Style9"/>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10"/>
        </w:rPr>
        <w:t>электронного конкурса не менее чем за пятнадцать дней до даты окончания срока подачи заявок на участие в закупке;</w:t>
      </w:r>
    </w:p>
    <w:p>
      <w:pPr>
        <w:pStyle w:val="Style9"/>
        <w:keepNext w:val="0"/>
        <w:keepLines w:val="0"/>
        <w:widowControl w:val="0"/>
        <w:numPr>
          <w:ilvl w:val="0"/>
          <w:numId w:val="15"/>
        </w:numPr>
        <w:shd w:val="clear" w:color="auto" w:fill="auto"/>
        <w:tabs>
          <w:tab w:pos="1411" w:val="left"/>
        </w:tabs>
        <w:bidi w:val="0"/>
        <w:spacing w:before="0" w:after="0" w:line="276" w:lineRule="auto"/>
        <w:ind w:left="0" w:right="0" w:firstLine="700"/>
        <w:jc w:val="both"/>
        <w:rPr>
          <w:sz w:val="24"/>
          <w:szCs w:val="24"/>
        </w:rPr>
        <w:sectPr>
          <w:headerReference w:type="default" r:id="rId19"/>
          <w:footerReference w:type="default" r:id="rId20"/>
          <w:footnotePr>
            <w:pos w:val="pageBottom"/>
            <w:numFmt w:val="decimal"/>
            <w:numRestart w:val="continuous"/>
          </w:footnotePr>
          <w:pgSz w:w="11900" w:h="16840"/>
          <w:pgMar w:top="850" w:right="545" w:bottom="682" w:left="1101" w:header="0" w:footer="254" w:gutter="0"/>
          <w:cols w:space="720"/>
          <w:noEndnote/>
          <w:rtlGutter w:val="0"/>
          <w:docGrid w:linePitch="360"/>
        </w:sectPr>
      </w:pPr>
      <w:r>
        <w:rPr>
          <w:rStyle w:val="CharStyle10"/>
        </w:rPr>
        <w:t xml:space="preserve">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w:t>
      </w:r>
      <w:r>
        <w:rPr>
          <w:rStyle w:val="CharStyle10"/>
          <w:sz w:val="24"/>
          <w:szCs w:val="24"/>
          <w:lang w:val="en-US" w:eastAsia="en-US"/>
        </w:rPr>
        <w:t>2026-22699</w:t>
      </w:r>
    </w:p>
    <w:p>
      <w:pPr>
        <w:pStyle w:val="Style9"/>
        <w:keepNext w:val="0"/>
        <w:keepLines w:val="0"/>
        <w:widowControl w:val="0"/>
        <w:shd w:val="clear" w:color="auto" w:fill="auto"/>
        <w:bidi w:val="0"/>
        <w:spacing w:before="0" w:after="40" w:line="240" w:lineRule="auto"/>
        <w:ind w:left="0" w:right="0" w:firstLine="0"/>
        <w:jc w:val="both"/>
      </w:pPr>
      <w:r>
        <w:rPr>
          <w:rStyle w:val="CharStyle10"/>
        </w:rPr>
        <w:t>участие в закупке;</w:t>
      </w:r>
    </w:p>
    <w:p>
      <w:pPr>
        <w:pStyle w:val="Style9"/>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10"/>
        </w:rPr>
        <w:t>электронного запроса котировок не менее чем за четыре рабочих дня до даты окончания срока подачи заявок на участие в закупке.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Заказчик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9"/>
        <w:keepNext w:val="0"/>
        <w:keepLines w:val="0"/>
        <w:widowControl w:val="0"/>
        <w:shd w:val="clear" w:color="auto" w:fill="auto"/>
        <w:bidi w:val="0"/>
        <w:spacing w:before="0" w:after="0" w:line="240" w:lineRule="auto"/>
        <w:ind w:left="0" w:right="0" w:firstLine="700"/>
        <w:jc w:val="both"/>
      </w:pPr>
      <w:r>
        <w:rPr>
          <w:rStyle w:val="CharStyle10"/>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9"/>
        <w:keepNext w:val="0"/>
        <w:keepLines w:val="0"/>
        <w:widowControl w:val="0"/>
        <w:numPr>
          <w:ilvl w:val="0"/>
          <w:numId w:val="13"/>
        </w:numPr>
        <w:shd w:val="clear" w:color="auto" w:fill="auto"/>
        <w:tabs>
          <w:tab w:pos="1090" w:val="left"/>
        </w:tabs>
        <w:bidi w:val="0"/>
        <w:spacing w:before="0" w:after="0" w:line="240" w:lineRule="auto"/>
        <w:ind w:left="0" w:right="0" w:firstLine="700"/>
        <w:jc w:val="both"/>
      </w:pPr>
      <w:r>
        <w:rPr>
          <w:rStyle w:val="CharStyle10"/>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10"/>
          <w:lang w:val="en-US" w:eastAsia="en-US"/>
        </w:rPr>
        <w:t>№2014.</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10"/>
          <w:lang w:val="en-US" w:eastAsia="en-US"/>
        </w:rPr>
        <w:t xml:space="preserve">6 </w:t>
      </w:r>
      <w:r>
        <w:rPr>
          <w:rStyle w:val="CharStyle10"/>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вышеизложенного Комиссией Управления принято решение об отказе в удовлетворении вышеуказанного ходатайства.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Исследовав представленные материалы, руководствуясь Законом о контрактной системе, Комиссия Управления</w:t>
      </w:r>
      <w:r>
        <w:br w:type="page"/>
      </w:r>
    </w:p>
    <w:p>
      <w:pPr>
        <w:pStyle w:val="Style9"/>
        <w:keepNext w:val="0"/>
        <w:keepLines w:val="0"/>
        <w:widowControl w:val="0"/>
        <w:shd w:val="clear" w:color="auto" w:fill="auto"/>
        <w:bidi w:val="0"/>
        <w:spacing w:before="0" w:after="260" w:line="252" w:lineRule="auto"/>
        <w:ind w:left="0" w:right="0" w:firstLine="0"/>
        <w:jc w:val="center"/>
      </w:pPr>
      <w:r>
        <w:rPr>
          <w:rStyle w:val="CharStyle10"/>
          <w:b/>
          <w:bCs/>
        </w:rPr>
        <w:t>РЕШИЛА:</w:t>
      </w:r>
    </w:p>
    <w:p>
      <w:pPr>
        <w:pStyle w:val="Style9"/>
        <w:keepNext w:val="0"/>
        <w:keepLines w:val="0"/>
        <w:widowControl w:val="0"/>
        <w:numPr>
          <w:ilvl w:val="0"/>
          <w:numId w:val="17"/>
        </w:numPr>
        <w:shd w:val="clear" w:color="auto" w:fill="auto"/>
        <w:tabs>
          <w:tab w:pos="1416" w:val="left"/>
        </w:tabs>
        <w:bidi w:val="0"/>
        <w:spacing w:before="0" w:after="0" w:line="252" w:lineRule="auto"/>
        <w:ind w:left="0" w:right="0" w:firstLine="700"/>
        <w:jc w:val="both"/>
      </w:pPr>
      <w:r>
        <w:rPr>
          <w:rStyle w:val="CharStyle10"/>
        </w:rPr>
        <w:t>Признать жалобу ИП Кравченко А.В. на действия ФГБНУ «РНЦХ им. акад. Б.В. Петровского» обоснованной в части формирования извещения в нарушение положений Закона о контрактной системе о защитных мерах национального режима.</w:t>
      </w:r>
    </w:p>
    <w:p>
      <w:pPr>
        <w:pStyle w:val="Style9"/>
        <w:keepNext w:val="0"/>
        <w:keepLines w:val="0"/>
        <w:widowControl w:val="0"/>
        <w:numPr>
          <w:ilvl w:val="0"/>
          <w:numId w:val="17"/>
        </w:numPr>
        <w:shd w:val="clear" w:color="auto" w:fill="auto"/>
        <w:tabs>
          <w:tab w:pos="1416" w:val="left"/>
        </w:tabs>
        <w:bidi w:val="0"/>
        <w:spacing w:before="0" w:after="0" w:line="252" w:lineRule="auto"/>
        <w:ind w:left="0" w:right="0" w:firstLine="700"/>
        <w:jc w:val="both"/>
      </w:pPr>
      <w:r>
        <w:rPr>
          <w:rStyle w:val="CharStyle10"/>
        </w:rPr>
        <w:t>Признать в действиях Заказчика нарушение требований ч.1 ст.14, ч.1.1 ст.33 Закона о контрактной системе.</w:t>
      </w:r>
    </w:p>
    <w:p>
      <w:pPr>
        <w:pStyle w:val="Style9"/>
        <w:keepNext w:val="0"/>
        <w:keepLines w:val="0"/>
        <w:widowControl w:val="0"/>
        <w:numPr>
          <w:ilvl w:val="0"/>
          <w:numId w:val="17"/>
        </w:numPr>
        <w:shd w:val="clear" w:color="auto" w:fill="auto"/>
        <w:tabs>
          <w:tab w:pos="1416" w:val="left"/>
        </w:tabs>
        <w:bidi w:val="0"/>
        <w:spacing w:before="0" w:after="0" w:line="252" w:lineRule="auto"/>
        <w:ind w:left="0" w:right="0" w:firstLine="700"/>
        <w:jc w:val="both"/>
      </w:pPr>
      <w:r>
        <w:rPr>
          <w:rStyle w:val="CharStyle10"/>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9"/>
        <w:keepNext w:val="0"/>
        <w:keepLines w:val="0"/>
        <w:widowControl w:val="0"/>
        <w:numPr>
          <w:ilvl w:val="0"/>
          <w:numId w:val="17"/>
        </w:numPr>
        <w:shd w:val="clear" w:color="auto" w:fill="auto"/>
        <w:tabs>
          <w:tab w:pos="1416" w:val="left"/>
        </w:tabs>
        <w:bidi w:val="0"/>
        <w:spacing w:before="0" w:after="200" w:line="252" w:lineRule="auto"/>
        <w:ind w:left="0" w:right="0" w:firstLine="700"/>
        <w:jc w:val="both"/>
      </w:pPr>
      <w:r>
        <w:rPr>
          <w:rStyle w:val="CharStyle1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headerReference w:type="default" r:id="rId21"/>
          <w:footerReference w:type="default" r:id="rId22"/>
          <w:footnotePr>
            <w:pos w:val="pageBottom"/>
            <w:numFmt w:val="decimal"/>
            <w:numRestart w:val="continuous"/>
          </w:footnotePr>
          <w:pgSz w:w="11900" w:h="16840"/>
          <w:pgMar w:top="838" w:right="536" w:bottom="1472" w:left="1101" w:header="0" w:footer="3" w:gutter="0"/>
          <w:cols w:space="720"/>
          <w:noEndnote/>
          <w:rtlGutter w:val="0"/>
          <w:docGrid w:linePitch="360"/>
        </w:sectPr>
      </w:pPr>
      <w:r>
        <mc:AlternateContent>
          <mc:Choice Requires="wps">
            <w:drawing>
              <wp:anchor distT="330200" distB="341630" distL="0" distR="0" simplePos="0" relativeHeight="125829379" behindDoc="0" locked="0" layoutInCell="1" allowOverlap="1">
                <wp:simplePos x="0" y="0"/>
                <wp:positionH relativeFrom="page">
                  <wp:posOffset>735965</wp:posOffset>
                </wp:positionH>
                <wp:positionV relativeFrom="paragraph">
                  <wp:posOffset>330200</wp:posOffset>
                </wp:positionV>
                <wp:extent cx="1844040" cy="252730"/>
                <wp:wrapTopAndBottom/>
                <wp:docPr id="22" name="Shape 22"/>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48" type="#_x0000_t202" style="position:absolute;margin-left:57.950000000000003pt;margin-top:26.pt;width:145.20000000000002pt;height:19.900000000000002pt;z-index:-125829374;mso-wrap-distance-left:0;mso-wrap-distance-top:26.pt;mso-wrap-distance-right:0;mso-wrap-distance-bottom:26.9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400050" distB="0" distL="0" distR="1786255" simplePos="0" relativeHeight="125829381" behindDoc="0" locked="0" layoutInCell="1" allowOverlap="1">
            <wp:simplePos x="0" y="0"/>
            <wp:positionH relativeFrom="page">
              <wp:posOffset>3281045</wp:posOffset>
            </wp:positionH>
            <wp:positionV relativeFrom="paragraph">
              <wp:posOffset>400050</wp:posOffset>
            </wp:positionV>
            <wp:extent cx="359410" cy="524510"/>
            <wp:wrapTopAndBottom/>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23"/>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3741420</wp:posOffset>
                </wp:positionH>
                <wp:positionV relativeFrom="paragraph">
                  <wp:posOffset>808355</wp:posOffset>
                </wp:positionV>
                <wp:extent cx="1283335" cy="100330"/>
                <wp:wrapNone/>
                <wp:docPr id="26" name="Shape 2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94.60000000000002pt;margin-top:63.649999999999999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3701415</wp:posOffset>
                </wp:positionH>
                <wp:positionV relativeFrom="paragraph">
                  <wp:posOffset>491490</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91.44999999999999pt;margin-top:38.700000000000003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41630" distL="0" distR="0" simplePos="0" relativeHeight="125829382" behindDoc="0" locked="0" layoutInCell="1" allowOverlap="1">
                <wp:simplePos x="0" y="0"/>
                <wp:positionH relativeFrom="page">
                  <wp:posOffset>6078855</wp:posOffset>
                </wp:positionH>
                <wp:positionV relativeFrom="paragraph">
                  <wp:posOffset>330200</wp:posOffset>
                </wp:positionV>
                <wp:extent cx="1136650" cy="252730"/>
                <wp:wrapTopAndBottom/>
                <wp:docPr id="30" name="Shape 30"/>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wps:txbx>
                      <wps:bodyPr wrap="none" lIns="0" tIns="0" rIns="0" bIns="0">
                        <a:noAutoFit/>
                      </wps:bodyPr>
                    </wps:wsp>
                  </a:graphicData>
                </a:graphic>
              </wp:anchor>
            </w:drawing>
          </mc:Choice>
          <mc:Fallback>
            <w:pict>
              <v:shape id="_x0000_s1056" type="#_x0000_t202" style="position:absolute;margin-left:478.65000000000003pt;margin-top:26.pt;width:89.5pt;height:19.900000000000002pt;z-index:-125829371;mso-wrap-distance-left:0;mso-wrap-distance-top:26.pt;mso-wrap-distance-right:0;mso-wrap-distance-bottom:26.900000000000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v:textbox>
                <w10:wrap type="topAndBottom" anchorx="page"/>
              </v:shape>
            </w:pict>
          </mc:Fallback>
        </mc:AlternateConten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Кому выдан: </w:t>
      </w:r>
      <w:r>
        <w:rPr>
          <w:rStyle w:val="CharStyle17"/>
          <w:color w:val="000000"/>
        </w:rPr>
        <w:t>Грешнева Дарья Сергеевна</w:t>
      </w:r>
    </w:p>
    <w:p>
      <w:pPr>
        <w:pStyle w:val="Style16"/>
        <w:keepNext w:val="0"/>
        <w:keepLines w:val="0"/>
        <w:widowControl w:val="0"/>
        <w:shd w:val="clear" w:color="auto" w:fill="auto"/>
        <w:bidi w:val="0"/>
        <w:spacing w:before="0" w:after="0" w:line="240" w:lineRule="auto"/>
        <w:ind w:right="0" w:firstLine="0"/>
        <w:jc w:val="left"/>
      </w:pPr>
      <w:r>
        <w:rPr>
          <w:rStyle w:val="CharStyle17"/>
          <w:color w:val="292929"/>
        </w:rPr>
        <w:t xml:space="preserve">Сертификат № </w:t>
      </w:r>
      <w:r>
        <w:rPr>
          <w:rStyle w:val="CharStyle17"/>
          <w:color w:val="5D5D5D"/>
        </w:rPr>
        <w:t>00831</w:t>
      </w:r>
      <w:r>
        <w:rPr>
          <w:rStyle w:val="CharStyle17"/>
          <w:lang w:val="en-US" w:eastAsia="en-US"/>
        </w:rPr>
        <w:t>B7545C61281C4BAB156778A683BFB</w:t>
      </w:r>
    </w:p>
    <w:p>
      <w:pPr>
        <w:pStyle w:val="Style16"/>
        <w:keepNext w:val="0"/>
        <w:keepLines w:val="0"/>
        <w:widowControl w:val="0"/>
        <w:shd w:val="clear" w:color="auto" w:fill="auto"/>
        <w:bidi w:val="0"/>
        <w:spacing w:before="0" w:after="580" w:line="240" w:lineRule="auto"/>
        <w:ind w:right="0" w:firstLine="0"/>
        <w:jc w:val="left"/>
      </w:pPr>
      <w:r>
        <w:rPr>
          <w:rStyle w:val="CharStyle17"/>
        </w:rPr>
        <w:t xml:space="preserve">Действителен с </w:t>
      </w:r>
      <w:r>
        <w:rPr>
          <w:rStyle w:val="CharStyle17"/>
          <w:color w:val="292929"/>
        </w:rPr>
        <w:t xml:space="preserve">17.07.2025 </w:t>
      </w:r>
      <w:r>
        <w:rPr>
          <w:rStyle w:val="CharStyle17"/>
          <w:color w:val="5D5D5D"/>
        </w:rPr>
        <w:t xml:space="preserve">по </w:t>
      </w:r>
      <w:r>
        <w:rPr>
          <w:rStyle w:val="CharStyle17"/>
        </w:rPr>
        <w:t>10.10.2026</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370" w:line="240" w:lineRule="auto"/>
        <w:ind w:left="0" w:right="0" w:firstLine="0"/>
        <w:jc w:val="right"/>
      </w:pPr>
      <w:r>
        <w:drawing>
          <wp:anchor distT="0" distB="0" distL="114300" distR="1918970" simplePos="0" relativeHeight="125829384" behindDoc="0" locked="0" layoutInCell="1" allowOverlap="1">
            <wp:simplePos x="0" y="0"/>
            <wp:positionH relativeFrom="page">
              <wp:posOffset>3305175</wp:posOffset>
            </wp:positionH>
            <wp:positionV relativeFrom="paragraph">
              <wp:posOffset>76200</wp:posOffset>
            </wp:positionV>
            <wp:extent cx="316865" cy="365760"/>
            <wp:wrapSquare wrapText="right"/>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5"/>
                    <a:stretch/>
                  </pic:blipFill>
                  <pic:spPr>
                    <a:xfrm>
                      <a:ext cx="316865"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3701415</wp:posOffset>
                </wp:positionH>
                <wp:positionV relativeFrom="paragraph">
                  <wp:posOffset>146050</wp:posOffset>
                </wp:positionV>
                <wp:extent cx="1722120" cy="259080"/>
                <wp:wrapNone/>
                <wp:docPr id="34" name="Shape 3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0" type="#_x0000_t202" style="position:absolute;margin-left:291.44999999999999pt;margin-top:11.5pt;width:135.59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М.О. Мацнева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2"/>
          <w:color w:val="FFFFFF"/>
        </w:rPr>
        <w:t>СВЕДЕНИЯ О СЕРТИФИКАТЕ ЭП</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Кому выдан: </w:t>
      </w:r>
      <w:r>
        <w:rPr>
          <w:rStyle w:val="CharStyle17"/>
          <w:color w:val="000000"/>
        </w:rPr>
        <w:t>Мацнева Мария Олеговна</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Сертификат </w:t>
      </w:r>
      <w:r>
        <w:rPr>
          <w:rStyle w:val="CharStyle17"/>
          <w:color w:val="292929"/>
        </w:rPr>
        <w:t xml:space="preserve">№ </w:t>
      </w:r>
      <w:r>
        <w:rPr>
          <w:rStyle w:val="CharStyle17"/>
          <w:lang w:val="en-US" w:eastAsia="en-US"/>
        </w:rPr>
        <w:t>00FDA1C988AAB27A9A34756B8D5F1D853</w:t>
      </w:r>
      <w:r>
        <w:rPr>
          <w:rStyle w:val="CharStyle17"/>
          <w:lang w:val="en-US" w:eastAsia="en-US"/>
        </w:rPr>
        <w:t>A</w:t>
      </w:r>
    </w:p>
    <w:p>
      <w:pPr>
        <w:pStyle w:val="Style16"/>
        <w:keepNext w:val="0"/>
        <w:keepLines w:val="0"/>
        <w:widowControl w:val="0"/>
        <w:shd w:val="clear" w:color="auto" w:fill="auto"/>
        <w:bidi w:val="0"/>
        <w:spacing w:before="0" w:after="580" w:line="240" w:lineRule="auto"/>
        <w:ind w:right="0" w:firstLine="0"/>
        <w:jc w:val="left"/>
      </w:pPr>
      <w:r>
        <w:rPr>
          <w:rStyle w:val="CharStyle17"/>
        </w:rPr>
        <w:t xml:space="preserve">Действителен с 22.07.2025 </w:t>
      </w:r>
      <w:r>
        <w:rPr>
          <w:rStyle w:val="CharStyle17"/>
          <w:color w:val="5D5D5D"/>
        </w:rPr>
        <w:t xml:space="preserve">по </w:t>
      </w:r>
      <w:r>
        <w:rPr>
          <w:rStyle w:val="CharStyle17"/>
        </w:rPr>
        <w:t>15.10.2026</w:t>
      </w:r>
    </w:p>
    <w:p>
      <w:pPr>
        <w:pStyle w:val="Style9"/>
        <w:keepNext w:val="0"/>
        <w:keepLines w:val="0"/>
        <w:widowControl w:val="0"/>
        <w:shd w:val="clear" w:color="auto" w:fill="auto"/>
        <w:bidi w:val="0"/>
        <w:spacing w:before="0" w:after="370" w:line="240" w:lineRule="auto"/>
        <w:ind w:left="0" w:right="0" w:firstLine="0"/>
        <w:jc w:val="right"/>
      </w:pPr>
      <w:r>
        <w:drawing>
          <wp:anchor distT="0" distB="0" distL="114300" distR="1931035" simplePos="0" relativeHeight="125829385" behindDoc="0" locked="0" layoutInCell="1" allowOverlap="1">
            <wp:simplePos x="0" y="0"/>
            <wp:positionH relativeFrom="page">
              <wp:posOffset>3311525</wp:posOffset>
            </wp:positionH>
            <wp:positionV relativeFrom="paragraph">
              <wp:posOffset>88900</wp:posOffset>
            </wp:positionV>
            <wp:extent cx="298450" cy="347345"/>
            <wp:wrapSquare wrapText="right"/>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27"/>
                    <a:stretch/>
                  </pic:blipFill>
                  <pic:spPr>
                    <a:xfrm>
                      <a:ext cx="298450" cy="34734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3698875</wp:posOffset>
                </wp:positionH>
                <wp:positionV relativeFrom="paragraph">
                  <wp:posOffset>149860</wp:posOffset>
                </wp:positionV>
                <wp:extent cx="1725295" cy="259080"/>
                <wp:wrapNone/>
                <wp:docPr id="38" name="Shape 38"/>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4" type="#_x0000_t202" style="position:absolute;margin-left:291.25pt;margin-top:11.800000000000001pt;width:135.84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А.С. Гелмутдинова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2"/>
          <w:color w:val="FFFFFF"/>
        </w:rPr>
        <w:t>СВЕДЕНИЯ О СЕРТИФИКАТЕ ЭП</w:t>
      </w:r>
    </w:p>
    <w:p>
      <w:pPr>
        <w:pStyle w:val="Style16"/>
        <w:keepNext w:val="0"/>
        <w:keepLines w:val="0"/>
        <w:widowControl w:val="0"/>
        <w:shd w:val="clear" w:color="auto" w:fill="auto"/>
        <w:bidi w:val="0"/>
        <w:spacing w:before="0" w:after="0" w:line="266" w:lineRule="auto"/>
        <w:ind w:right="0" w:firstLine="20"/>
        <w:jc w:val="left"/>
      </w:pPr>
      <w:r>
        <w:rPr>
          <w:rStyle w:val="CharStyle17"/>
        </w:rPr>
        <w:t xml:space="preserve">Кому выдан: </w:t>
      </w:r>
      <w:r>
        <w:rPr>
          <w:rStyle w:val="CharStyle17"/>
          <w:color w:val="000000"/>
        </w:rPr>
        <w:t>ГЕЛМУТДИНОВА АНАСТАСИЯ СЕРГЕЕВНА</w:t>
      </w:r>
      <w:r>
        <w:rPr>
          <w:rStyle w:val="CharStyle17"/>
          <w:color w:val="000000"/>
        </w:rPr>
        <w:t xml:space="preserve"> </w:t>
      </w:r>
      <w:r>
        <w:rPr>
          <w:rStyle w:val="CharStyle17"/>
        </w:rPr>
        <w:t xml:space="preserve">Сертификат </w:t>
      </w:r>
      <w:r>
        <w:rPr>
          <w:rStyle w:val="CharStyle17"/>
          <w:color w:val="292929"/>
        </w:rPr>
        <w:t xml:space="preserve">№ </w:t>
      </w:r>
      <w:r>
        <w:rPr>
          <w:rStyle w:val="CharStyle17"/>
        </w:rPr>
        <w:t>723501СС21703599976371</w:t>
      </w:r>
      <w:r>
        <w:rPr>
          <w:rStyle w:val="CharStyle17"/>
          <w:lang w:val="en-US" w:eastAsia="en-US"/>
        </w:rPr>
        <w:t>4F5C652689</w:t>
      </w:r>
    </w:p>
    <w:p>
      <w:pPr>
        <w:pStyle w:val="Style16"/>
        <w:keepNext w:val="0"/>
        <w:keepLines w:val="0"/>
        <w:widowControl w:val="0"/>
        <w:shd w:val="clear" w:color="auto" w:fill="auto"/>
        <w:bidi w:val="0"/>
        <w:spacing w:before="0" w:after="500" w:line="266" w:lineRule="auto"/>
        <w:ind w:right="0" w:firstLine="20"/>
        <w:jc w:val="left"/>
      </w:pPr>
      <w:r>
        <w:rPr>
          <w:rStyle w:val="CharStyle17"/>
        </w:rPr>
        <w:t xml:space="preserve">Действителен с 09.02.2026 </w:t>
      </w:r>
      <w:r>
        <w:rPr>
          <w:rStyle w:val="CharStyle17"/>
          <w:color w:val="5D5D5D"/>
        </w:rPr>
        <w:t xml:space="preserve">по </w:t>
      </w:r>
      <w:r>
        <w:rPr>
          <w:rStyle w:val="CharStyle17"/>
        </w:rPr>
        <w:t>05.05.2027</w:t>
      </w:r>
    </w:p>
    <w:p>
      <w:pPr>
        <w:pStyle w:val="Style23"/>
        <w:keepNext w:val="0"/>
        <w:keepLines w:val="0"/>
        <w:widowControl w:val="0"/>
        <w:shd w:val="clear" w:color="auto" w:fill="auto"/>
        <w:bidi w:val="0"/>
        <w:spacing w:before="0" w:line="240" w:lineRule="auto"/>
        <w:ind w:left="0" w:right="0" w:firstLine="0"/>
        <w:jc w:val="left"/>
      </w:pPr>
      <w:r>
        <w:rPr>
          <w:rStyle w:val="CharStyle24"/>
        </w:rPr>
        <w:t>Исп.Гелмутдинова А.С. тел.8(495)784-75-05</w:t>
      </w:r>
    </w:p>
    <w:sectPr>
      <w:footnotePr>
        <w:pos w:val="pageBottom"/>
        <w:numFmt w:val="decimal"/>
        <w:numRestart w:val="continuous"/>
      </w:footnotePr>
      <w:type w:val="continuous"/>
      <w:pgSz w:w="11900" w:h="16840"/>
      <w:pgMar w:top="1167" w:right="532" w:bottom="116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34695" cy="125095"/>
              <wp:wrapNone/>
              <wp:docPr id="4" name="Shape 4"/>
              <a:graphic xmlns:a="http://schemas.openxmlformats.org/drawingml/2006/main">
                <a:graphicData uri="http://schemas.microsoft.com/office/word/2010/wordprocessingShape">
                  <wps:wsp>
                    <wps:cNvSpPr txBox="1"/>
                    <wps:spPr>
                      <a:xfrm>
                        <a:ext cx="7346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2026-22699</w:t>
                          </w:r>
                        </w:p>
                      </w:txbxContent>
                    </wps:txbx>
                    <wps:bodyPr wrap="none" lIns="0" tIns="0" rIns="0" bIns="0">
                      <a:spAutoFit/>
                    </wps:bodyPr>
                  </wps:wsp>
                </a:graphicData>
              </a:graphic>
            </wp:anchor>
          </w:drawing>
        </mc:Choice>
        <mc:Fallback>
          <w:pict>
            <v:shape id="_x0000_s1030" type="#_x0000_t202" style="position:absolute;margin-left:57.pt;margin-top:804.5pt;width:57.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2026-22699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723900</wp:posOffset>
              </wp:positionH>
              <wp:positionV relativeFrom="page">
                <wp:posOffset>10097135</wp:posOffset>
              </wp:positionV>
              <wp:extent cx="722630" cy="103505"/>
              <wp:wrapNone/>
              <wp:docPr id="14" name="Shape 1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2026-22699</w:t>
                          </w:r>
                        </w:p>
                      </w:txbxContent>
                    </wps:txbx>
                    <wps:bodyPr wrap="none" lIns="0" tIns="0" rIns="0" bIns="0">
                      <a:spAutoFit/>
                    </wps:bodyPr>
                  </wps:wsp>
                </a:graphicData>
              </a:graphic>
            </wp:anchor>
          </w:drawing>
        </mc:Choice>
        <mc:Fallback>
          <w:pict>
            <v:shape id="_x0000_s1040" type="#_x0000_t202" style="position:absolute;margin-left:57.pt;margin-top:795.05000000000007pt;width:56.899999999999999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2026-22699</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723900</wp:posOffset>
              </wp:positionH>
              <wp:positionV relativeFrom="page">
                <wp:posOffset>10097135</wp:posOffset>
              </wp:positionV>
              <wp:extent cx="722630" cy="103505"/>
              <wp:wrapNone/>
              <wp:docPr id="20" name="Shape 20"/>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2026-22699</w:t>
                          </w:r>
                        </w:p>
                      </w:txbxContent>
                    </wps:txbx>
                    <wps:bodyPr wrap="none" lIns="0" tIns="0" rIns="0" bIns="0">
                      <a:spAutoFit/>
                    </wps:bodyPr>
                  </wps:wsp>
                </a:graphicData>
              </a:graphic>
            </wp:anchor>
          </w:drawing>
        </mc:Choice>
        <mc:Fallback>
          <w:pict>
            <v:shape id="_x0000_s1046" type="#_x0000_t202" style="position:absolute;margin-left:57.pt;margin-top:795.05000000000007pt;width:56.899999999999999pt;height:8.1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2026-22699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3884295</wp:posOffset>
              </wp:positionH>
              <wp:positionV relativeFrom="page">
                <wp:posOffset>178435</wp:posOffset>
              </wp:positionV>
              <wp:extent cx="155575" cy="69850"/>
              <wp:wrapNone/>
              <wp:docPr id="2" name="Shape 2"/>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5.85000000000002pt;margin-top:14.050000000000001pt;width:12.25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3881755</wp:posOffset>
              </wp:positionH>
              <wp:positionV relativeFrom="page">
                <wp:posOffset>267335</wp:posOffset>
              </wp:positionV>
              <wp:extent cx="130810" cy="69850"/>
              <wp:wrapNone/>
              <wp:docPr id="12" name="Shape 12"/>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8" type="#_x0000_t202" style="position:absolute;margin-left:305.65000000000003pt;margin-top:21.050000000000001pt;width:10.300000000000001pt;height:5.5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3884295</wp:posOffset>
              </wp:positionH>
              <wp:positionV relativeFrom="page">
                <wp:posOffset>178435</wp:posOffset>
              </wp:positionV>
              <wp:extent cx="155575" cy="69850"/>
              <wp:wrapNone/>
              <wp:docPr id="16" name="Shape 16"/>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2" type="#_x0000_t202" style="position:absolute;margin-left:305.85000000000002pt;margin-top:14.050000000000001pt;width:12.25pt;height:5.5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3881755</wp:posOffset>
              </wp:positionH>
              <wp:positionV relativeFrom="page">
                <wp:posOffset>267335</wp:posOffset>
              </wp:positionV>
              <wp:extent cx="130810" cy="69850"/>
              <wp:wrapNone/>
              <wp:docPr id="18" name="Shape 18"/>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4" type="#_x0000_t202" style="position:absolute;margin-left:305.65000000000003pt;margin-top:21.050000000000001pt;width:10.300000000000001pt;height:5.5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2)_"/>
    <w:basedOn w:val="DefaultParagraphFont"/>
    <w:link w:val="Style16"/>
    <w:rPr>
      <w:rFonts w:ascii="Arial" w:eastAsia="Arial" w:hAnsi="Arial" w:cs="Arial"/>
      <w:b w:val="0"/>
      <w:bCs w:val="0"/>
      <w:i w:val="0"/>
      <w:iCs w:val="0"/>
      <w:smallCaps w:val="0"/>
      <w:strike w:val="0"/>
      <w:color w:val="434343"/>
      <w:sz w:val="12"/>
      <w:szCs w:val="12"/>
      <w:u w:val="none"/>
    </w:rPr>
  </w:style>
  <w:style w:type="character" w:customStyle="1" w:styleId="CharStyle22">
    <w:name w:val="Body text (4)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4">
    <w:name w:val="Body text (5)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2)"/>
    <w:basedOn w:val="Normal"/>
    <w:link w:val="CharStyle17"/>
    <w:pPr>
      <w:widowControl w:val="0"/>
      <w:shd w:val="clear" w:color="auto" w:fill="auto"/>
      <w:ind w:left="4080"/>
    </w:pPr>
    <w:rPr>
      <w:rFonts w:ascii="Arial" w:eastAsia="Arial" w:hAnsi="Arial" w:cs="Arial"/>
      <w:b w:val="0"/>
      <w:bCs w:val="0"/>
      <w:i w:val="0"/>
      <w:iCs w:val="0"/>
      <w:smallCaps w:val="0"/>
      <w:strike w:val="0"/>
      <w:color w:val="434343"/>
      <w:sz w:val="12"/>
      <w:szCs w:val="12"/>
      <w:u w:val="none"/>
    </w:rPr>
  </w:style>
  <w:style w:type="paragraph" w:customStyle="1" w:styleId="Style21">
    <w:name w:val="Body text (4)"/>
    <w:basedOn w:val="Normal"/>
    <w:link w:val="CharStyle22"/>
    <w:pPr>
      <w:widowControl w:val="0"/>
      <w:shd w:val="clear" w:color="auto" w:fill="auto"/>
      <w:spacing w:after="80"/>
      <w:ind w:left="4800"/>
    </w:pPr>
    <w:rPr>
      <w:rFonts w:ascii="Georgia" w:eastAsia="Georgia" w:hAnsi="Georgia" w:cs="Georgia"/>
      <w:b w:val="0"/>
      <w:bCs w:val="0"/>
      <w:i w:val="0"/>
      <w:iCs w:val="0"/>
      <w:smallCaps w:val="0"/>
      <w:strike w:val="0"/>
      <w:color w:val="EBEBEB"/>
      <w:sz w:val="12"/>
      <w:szCs w:val="12"/>
      <w:u w:val="none"/>
    </w:rPr>
  </w:style>
  <w:style w:type="paragraph" w:customStyle="1" w:styleId="Style23">
    <w:name w:val="Body text (5)"/>
    <w:basedOn w:val="Normal"/>
    <w:link w:val="CharStyle2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png"/><Relationship Id="rId16" Type="http://schemas.openxmlformats.org/officeDocument/2006/relationships/image" Target="media/image4.png" TargetMode="External"/><Relationship Id="rId17" Type="http://schemas.openxmlformats.org/officeDocument/2006/relationships/header" Target="header3.xml"/><Relationship Id="rId18" Type="http://schemas.openxmlformats.org/officeDocument/2006/relationships/footer" Target="footer3.xml"/><Relationship Id="rId19" Type="http://schemas.openxmlformats.org/officeDocument/2006/relationships/header" Target="header4.xml"/><Relationship Id="rId20" Type="http://schemas.openxmlformats.org/officeDocument/2006/relationships/footer" Target="footer4.xml"/><Relationship Id="rId21" Type="http://schemas.openxmlformats.org/officeDocument/2006/relationships/header" Target="header5.xml"/><Relationship Id="rId22" Type="http://schemas.openxmlformats.org/officeDocument/2006/relationships/footer" Target="footer5.xml"/><Relationship Id="rId23" Type="http://schemas.openxmlformats.org/officeDocument/2006/relationships/image" Target="media/image5.jpeg"/><Relationship Id="rId24" Type="http://schemas.openxmlformats.org/officeDocument/2006/relationships/image" Target="media/image5.jpeg" TargetMode="External"/><Relationship Id="rId25" Type="http://schemas.openxmlformats.org/officeDocument/2006/relationships/image" Target="media/image6.jpeg"/><Relationship Id="rId26" Type="http://schemas.openxmlformats.org/officeDocument/2006/relationships/image" Target="media/image6.jpeg" TargetMode="External"/><Relationship Id="rId27" Type="http://schemas.openxmlformats.org/officeDocument/2006/relationships/image" Target="media/image7.jpeg"/><Relationship Id="rId28" Type="http://schemas.openxmlformats.org/officeDocument/2006/relationships/image" Target="media/image7.jpeg" TargetMode="External"/></Relationships>
</file>