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ГБУЗ «ГКБ ИМ. В.П. Демихова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"mailto:gkb13-torg@zdrav.mos.ru" </w:instrText>
      </w:r>
      <w:r>
        <w:fldChar w:fldCharType="separate"/>
      </w:r>
      <w:r>
        <w:rPr>
          <w:rStyle w:val="CharStyle7"/>
          <w:lang w:val="en-US" w:eastAsia="en-US"/>
        </w:rPr>
        <w:t>gkb13-torg@zdrav.mos.ru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ИП Кравченко А.В.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858" w:bottom="296" w:left="1135" w:header="0" w:footer="3" w:gutter="0"/>
          <w:pgNumType w:start="1"/>
          <w:cols w:num="2" w:space="720" w:equalWidth="0">
            <w:col w:w="4066" w:space="1205"/>
            <w:col w:w="463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7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1" w:right="0" w:bottom="2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№077/06/105-5630/2026 о нарушении</w:t>
        <w:br/>
        <w:t>законодательства о контрактной системе</w:t>
        <w:br/>
        <w:t>06.05.2026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 ГБУЗ «ГКБ ИМ. В.П. Демихова ДЗМ»: Шанаевой Л.И. (дов.№009 от 29.10.2025),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ИП Кравченко А.В.,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rStyle w:val="CharStyle7"/>
        </w:rPr>
        <w:t>рассмотрев жалобу ИП Кравченко А.В. (далее – Заявитель) на действия ГБУЗ «ГКБ ИМ. В.П. Демихова ДЗМ» (далее - Заказчик) при проведении электронного аукциона на право заключения государственного контракта на поставка электрокардиостимулятора, имплантируемого двухкамерного, частотно-адаптивного, совместимого с устройством для программирования электрокардиостимуляторов и дефибрилляторов, имеющегося у Заказчика, для нужд ГБУЗ «ГКБ им. В. П. Демихова ДЗМ» в 2026 г. (Закупка №0373200100126000504) (далее – аукцион), в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rStyle w:val="CharStyle10"/>
        </w:rPr>
        <w:t>IIIIIIIIIIIIIIIIIIIIIIIIIIII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2026-23262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Заказчиком при описании объекта закупки неправомерно не применены позиции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КТРУ), применены дополнительные, не предусмотренные позициями КТРУ, требования к характеристикам изделий, а также в одну закупку объединена поставка товаров разных кодов по общероссийскому классификатору продукции по видам экономической деятельности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ОКПД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>и разных направлений.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240" w:line="271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1" w:right="541" w:bottom="247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</w:t>
      </w:r>
      <w:r>
        <w:rPr>
          <w:rStyle w:val="CharStyle7"/>
          <w:sz w:val="24"/>
          <w:szCs w:val="24"/>
          <w:lang w:val="en-US" w:eastAsia="en-US"/>
        </w:rPr>
        <w:t>2026-23262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пп.«а» п.2 Правил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2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) 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7"/>
          <w:lang w:val="en-US" w:eastAsia="en-US"/>
        </w:rPr>
        <w:t xml:space="preserve">25, 26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Правительства Российской Федерации от </w:t>
      </w:r>
      <w:r>
        <w:rPr>
          <w:rStyle w:val="CharStyle7"/>
          <w:lang w:val="en-US" w:eastAsia="en-US"/>
        </w:rPr>
        <w:t xml:space="preserve">23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2024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Постановление№1875), позициях </w:t>
      </w:r>
      <w:r>
        <w:rPr>
          <w:rStyle w:val="CharStyle7"/>
          <w:lang w:val="en-US" w:eastAsia="en-US"/>
        </w:rPr>
        <w:t xml:space="preserve">191 - 361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применяются предусмотренные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запрет, ограничение соответственно;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6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8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.6 Правил использования КТРУ установлено, что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что, согласно извещению об осуществлении закупки Заказчиком закупается единственный вид изделий «Электрокардиостимулятор имплантируемый двухкамерный, частотно</w:t>
        <w:softHyphen/>
        <w:t xml:space="preserve">адаптивный», при этом при описании объекта закупки Заказчиком также применена позиция КТРУ </w:t>
      </w:r>
      <w:r>
        <w:rPr>
          <w:rStyle w:val="CharStyle7"/>
          <w:lang w:val="en-US" w:eastAsia="en-US"/>
        </w:rPr>
        <w:t xml:space="preserve">26.60.14.110-00000044 </w:t>
      </w:r>
      <w:r>
        <w:rPr>
          <w:rStyle w:val="CharStyle7"/>
        </w:rPr>
        <w:t xml:space="preserve">«Электрокардиостимулятор имплантируемый двухкамерный, частотно-адаптивный», которая, в свою очередь, соответствует коду ОКПД2 </w:t>
      </w:r>
      <w:r>
        <w:rPr>
          <w:rStyle w:val="CharStyle7"/>
          <w:lang w:val="en-US" w:eastAsia="en-US"/>
        </w:rPr>
        <w:t xml:space="preserve">26.60.14.110 </w:t>
      </w:r>
      <w:r>
        <w:rPr>
          <w:rStyle w:val="CharStyle7"/>
        </w:rPr>
        <w:t>«Кардиостимуляторы».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Вместе с этим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силу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Согласно пп.«а» п.13 Правил формирования КТРУ в описание товара, работы, услуги в соответствии с требованиями ст.33 Закона о контрактной системе включается в том числе 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органом принято решение о включении в описание товара, работы, услуги, уполномоченный орган 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ст.19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отношении каждой характеристики, не имеющей количественной оценки, 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обоснование дополнительных требований к товару, предусмотренное п.6 Правил использования КТРУ, подлежит указанию заказчиком в извещении в случае, если используемая заказчиком позиция КТРУ содержит описание товара, предусмотренное пп.«г»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используемая Заказчиком при описании закупаемых изделий позиция КТРУ </w:t>
      </w:r>
      <w:r>
        <w:rPr>
          <w:rStyle w:val="CharStyle7"/>
          <w:lang w:val="en-US" w:eastAsia="en-US"/>
        </w:rPr>
        <w:t xml:space="preserve">26.60.14.110-00000044 </w:t>
      </w:r>
      <w:r>
        <w:rPr>
          <w:rStyle w:val="CharStyle7"/>
        </w:rPr>
        <w:t>«Электрокардиостимулятор имплантируемый двухкамерный, частотно</w:t>
        <w:softHyphen/>
        <w:t>адаптивный» не содержит в своем составе описание изделия, предусмотренное пп.«г» п.10 Правил формирования КТРУ,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изделиям, установленных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указание в описании объекта закупки требований к характеристикам закупаемых изделий, не предусмотренных используемой позиций КТРУ, не противоречит пп.«а» п.5 Правил использования КТРУ, так как, в рассматриваемом случае, пп.«а» п.5, п.6 Правил использования КТРУ не подлежат применению.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Вместе с этим,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при этом в составе жалобы Заявителем, не представлено документов и сведений, подтверждающие доводы жалобы, в частности указание на требования к характеристикам изделия, установленные Заказчиком и не предусмотренные используемой позицией КТРУ, указание на иные позиции КТРУ, которые соответствуют закупаемому Заказчиком изделию, а также не указано на конкретные изделия, которые по мнению Заявителя запрещено закупать в рамках одной конкурентной процедуры,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 ст.49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</w:t>
      </w:r>
      <w:r>
        <w:rPr>
          <w:rStyle w:val="CharStyle7"/>
          <w:lang w:val="en-US" w:eastAsia="en-US"/>
        </w:rPr>
        <w:t xml:space="preserve">4, 5, 18, 30, 42, 49, 54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59 </w:t>
      </w:r>
      <w:r>
        <w:rPr>
          <w:rStyle w:val="CharStyle7"/>
        </w:rPr>
        <w:t>ч.1 ст.93 Закона о контрактной системе, заказчик устанавливает единое требование 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7"/>
          <w:lang w:val="en-US" w:eastAsia="en-US"/>
        </w:rPr>
        <w:t xml:space="preserve">1, 1.1, 2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ст.31 Закона о контрактной системе,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определено, что, вопреки доводам жалобы, в извещении об осуществлении закупки Заказчиком не установлены требования к правоспособности участников закупки в соответствии с п.1 ч.1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в извещении об осуществлении закупки Заказчиком установлено ограничение, предусмотренное п.1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однако указанным в описании объекта закупок требованиям к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обоснование своей позиции Заявитель указывает, что на день подачи жалоб в едином реестре российской радиоэлектронной продукции зарегистрировано несколько ультразвуковых аппарата, производства АО «НИПК «Электрон», АО «Уральский приборостроительный завод», АО «Заслон» и ООО НМФ «Нейротех»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38" w:right="545" w:bottom="1114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иностранное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Постановление Правительства РФ от </w:t>
      </w:r>
      <w:r>
        <w:rPr>
          <w:rStyle w:val="CharStyle7"/>
          <w:lang w:val="en-US" w:eastAsia="en-US"/>
        </w:rPr>
        <w:t xml:space="preserve">10.07.2019 №878 </w:t>
      </w:r>
      <w:r>
        <w:rPr>
          <w:rStyle w:val="CharStyle7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7"/>
          <w:lang w:val="en-US" w:eastAsia="en-US"/>
        </w:rPr>
        <w:t xml:space="preserve">16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2016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№925 </w:t>
      </w:r>
      <w:r>
        <w:rPr>
          <w:rStyle w:val="CharStyle7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№878) </w:t>
      </w:r>
      <w:r>
        <w:rPr>
          <w:rStyle w:val="CharStyle7"/>
        </w:rPr>
        <w:t xml:space="preserve">утвержден единый реестр российской радиоэлектронной продукции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Реестр).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302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44" w:left="1101" w:header="0" w:footer="216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</w:t>
      </w:r>
      <w:r>
        <w:rPr>
          <w:rStyle w:val="CharStyle7"/>
          <w:sz w:val="24"/>
          <w:szCs w:val="24"/>
          <w:lang w:val="en-US" w:eastAsia="en-US"/>
        </w:rPr>
        <w:t>2026-23262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закупок,в отношении закупаемых изделий Заказчиком установлены защитные меры, предусмотренные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положениями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и Постановления </w:t>
      </w:r>
      <w:r>
        <w:rPr>
          <w:rStyle w:val="CharStyle7"/>
          <w:lang w:val="en-US" w:eastAsia="en-US"/>
        </w:rPr>
        <w:t xml:space="preserve">№878 </w:t>
      </w:r>
      <w:r>
        <w:rPr>
          <w:rStyle w:val="CharStyle7"/>
        </w:rPr>
        <w:t>не установлены требования о том, что описание объекта закупки, сформированное в соответствии с положениями Закона о контрактной системе, должно быть сформировано на основании характеристик товаров,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Кроме того, Заявителем не представлено документов и сведений,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жалобы Заявитель указывает, что Заказчиком не исполнены требования Постановления Правительства РФ от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2020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2014 </w:t>
      </w:r>
      <w:r>
        <w:rPr>
          <w:rStyle w:val="CharStyle7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№2014), </w:t>
      </w:r>
      <w:r>
        <w:rPr>
          <w:rStyle w:val="CharStyle7"/>
        </w:rPr>
        <w:t>в части закупки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аппаратов ультразвукового исследования Российского производства не менее </w:t>
      </w:r>
      <w:r>
        <w:rPr>
          <w:rStyle w:val="CharStyle7"/>
          <w:lang w:val="en-US" w:eastAsia="en-US"/>
        </w:rPr>
        <w:t>80%.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утрачивает силу.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П.12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в том числе определено,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вступает в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 п.10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установлено, что обжалуемое извещение опубликовано Заказчиком после вступления в силу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 xml:space="preserve">утратило силу и положения Постановления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не могут быть применены в отношении данной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Одновременно с этим Комиссия Управления отмечает.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ч.6 ст.14 Закона о контрактной системе по итогам года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работ,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выполняемых, оказываемых российскими лицами, не подлежит размещению в единой информационной системе, заказчик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 товаров российского происхождения, работ, услуг, соответственно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марта года, следующего за отчетным годом.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1157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Комиссия Управления отмечает, что исходя из буквального толкования положений ч.6,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п.9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определено, что Министерство финансов Российской Федерации является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учитывая,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закупок, в связи с чем рассмотрение данного довода жалобы в отношении нарушения Заказчиком указанного постановления не может быть осуществлено.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жалобы Заявитель указывает, что 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предусмотренный Постановлением Правительства РФ от </w:t>
      </w:r>
      <w:r>
        <w:rPr>
          <w:rStyle w:val="CharStyle7"/>
          <w:lang w:val="en-US" w:eastAsia="en-US"/>
        </w:rPr>
        <w:t xml:space="preserve">16.11.2015 №1236 </w:t>
      </w:r>
      <w:r>
        <w:rPr>
          <w:rStyle w:val="CharStyle7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№1236).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7"/>
          <w:lang w:val="en-US" w:eastAsia="en-US"/>
        </w:rPr>
        <w:t>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п.2 Постановлением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 xml:space="preserve">в редакции от </w:t>
      </w:r>
      <w:r>
        <w:rPr>
          <w:rStyle w:val="CharStyle7"/>
          <w:lang w:val="en-US" w:eastAsia="en-US"/>
        </w:rPr>
        <w:t xml:space="preserve">20.12.2017 </w:t>
      </w:r>
      <w:r>
        <w:rPr>
          <w:rStyle w:val="CharStyle7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этим, как установлено Комиссией Управления, извещение об осуществлении закупки опубликовано Заказчиком после вступления в силу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в связи с чем довод Заявителя, на предмет нарушения требований Постановления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>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установленные Заказчиком требования к характеристикам необходимых к поставке изделий ограничивают круг участников закупки, поскольку совокупности установленных требований к изделиям не соответствует ни одно изделие, либо соответствуют изделия конкретного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ч.1 ст.106 Закона о контрактной системе лица, права и законные интересы которых непосредственно затрагиваются в результате рассмотрения </w:t>
      </w:r>
      <w:r>
        <w:rPr>
          <w:rStyle w:val="CharStyle7"/>
          <w:sz w:val="24"/>
          <w:szCs w:val="24"/>
          <w:lang w:val="en-US" w:eastAsia="en-US"/>
        </w:rPr>
        <w:t>2026-23262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пояснениям Заказчика требования к закупаемым изделиям установлены Заказчиком в соответствии с потребностью учреждения, обусловленной необходимостью совместимости закупаемого оборудования с оборудованием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Заявителем, не представлено документов и сведений, указывающих на наличие изделий, совместимых с оборудованием Заказчика, предложение о поставке которых невозможно исходя из установленных Заказчиком требований к характеристикам изделий, а также не представлено документов и сведений, указывающих, что в данном конкретном случае при осуществлении конкурентной процедуры неприменим пп.«б» п.1 ч.1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структурированная форма извещения сформирована Заказчиком в нарушение положений Закона о контрактной системе, так как в составе извещения в отдельном файле отсутствует описание объекта закупки, в четком соответствии с описанием объекта закупки отраженном в структурированной форме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Комиссией Управления установлено, что в составе жалобы, а также на заседании Комиссии Управления Заявителем, не указаны положения извещения, описания объекта закупки,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в извещении не указаны контактные данные лица Заказчика, являющегося конечным получателем изделия, при этом, по мнению Заявителя, в извещении подлежат указанию контактные данные лица, являющегося конечным получателем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ч.1 ст.42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извещения Заказчиком размещена информация, предусмотренная п.1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Наряду с этим в составе жалобы Заявитель указывает, что в извещении, в том числе, в проекте контракта, не содержится сведений о сроке действия и окончания контракта, а извещение об осуществлении закупки размещено в нарушение ч.3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Более того, в жалобе Заявитель обжалует действия Заказчика в использовании сторонних программных продуктов, помимо единой информационной системы, для взаимодействия при исполнении контракта.</w:t>
      </w:r>
    </w:p>
    <w:p>
      <w:pPr>
        <w:pStyle w:val="Style6"/>
        <w:keepNext w:val="0"/>
        <w:keepLines w:val="0"/>
        <w:widowControl w:val="0"/>
        <w:numPr>
          <w:ilvl w:val="1"/>
          <w:numId w:val="17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ст.34 Закона о контрактной системе предусмотрено,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п.21 ч.1 ст.42 Закона о контрактной системе извещение об осуществлении закупки должно содержать дата и время окончания срока подачи заявок на участие в закупке. Такая дата не может приходиться на нерабочий день.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ч.3 ст.42 Закона о контрактной системе извещение об осуществлении закупки размещается при проведении: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электронного конкурса не менее чем за пятнадцать дней до даты окончания срока подачи заявок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1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электронного аукциона не менее чем за пятнадцать дней до даты окончания срока подачи заявок на участие в закупке, за исключением случаев, если начальная (максимальная) цена контракта не превышает триста миллионов рублей либо начальная (максимальная) цена контракта на выполнение работ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строительству, реконструкции, капитальному ремонту, сносу объекта капитального строительства не превышает два миллиарда рублей, при которых такое извещение размещается не менее чем за семь дней до даты окончания срока подачи заявок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электронного запроса котировок не менее чем за четыре рабочих дня до даты окончания срока подачи заявок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извещения Заказчиком размещены сведения о дате начала исполнения контракта, сроке исполнения контракта. Также Комиссией Управления установлено, что извещение размещено Заказчиком в соответствии с требованиями ч.3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Относительно указанного довода жалобы представитель Заказчика отметил, что извещение сформировано в соответствии с Законом о контрактной системе, при этом все взаимодействие Заказчика и исполнителя будет осуществляться в посредством единой информационной системы.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в составе жалобы Заявителем не указано документов и сведений, свидетельствующих о нарушении в действиях Заказчика Закона о контрактной системе, а также указаний на конкретные положения проекта государственного контракта противоречащие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Исходя из вышеизложенного, в отсутствие доказательств обратного Комиссия Управления приходит к выводу, что Заказчик действовал правомерно при формировании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также приходит к выводу,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жалобы Заявитель ходатайствует о направлении жалобы в органы финансового контроля, Министерство здравоохранения Российской Федерации для рассмотрения доводов жалобы, относящихся к компетенции данных органов, в частности проведения проверки обоснования начальной (максимальной) цены контракта и исполнения положений Постановления </w:t>
      </w:r>
      <w:r>
        <w:rPr>
          <w:rStyle w:val="CharStyle7"/>
          <w:lang w:val="en-US" w:eastAsia="en-US"/>
        </w:rPr>
        <w:t>№2014.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жалоба Заявителя не перенаправлялась в органы финансового контроля, Министерство здравоохранения Российской Федерации, так как была принята к рассмотрению Московским УФАС России в рамках главы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системе, доводы, относящихся к компетенции органов финансового контроля, Министерства промышленности и торговли Российской Федерации, оставлены Комиссией Управления без рассмотрения, ввиду чего Заявитель вправе самостоятельно подать жалобу в соответствующие органы.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96" w:left="1101" w:header="0" w:footer="268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Также Комиссия Управления отмечает, что направление жалобы по ведомственной принадлежности осуществляется в рамках предварительного рассмотрения жалобы, при этом в рамках предварительного рассмотрения данной жалобы установлено, что жалоба подлежит рассмотрению Комиссией Управления, в рамках большей части доводов, ввиду чего не может быть перенаправлена по ведомственной принадлежности для рассмотрения в иные органы государственного контроля. </w:t>
      </w:r>
      <w:r>
        <w:rPr>
          <w:rStyle w:val="CharStyle7"/>
          <w:sz w:val="24"/>
          <w:szCs w:val="24"/>
          <w:lang w:val="en-US" w:eastAsia="en-US"/>
        </w:rPr>
        <w:t>2026-23262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Комиссией Управления принято решение об отказе в удовлетворении вышеуказанного ходатайства.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жалобу ИП Кравченко А.В. на действия ГБУЗ «ГКБ ИМ. В.П. Демихова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21" w:val="left"/>
        </w:tabs>
        <w:bidi w:val="0"/>
        <w:spacing w:before="0" w:after="200" w:line="254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79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9611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8.200000000000003pt;margin-top:26.pt;width:149.30000000000001pt;height:19.900000000000002pt;z-index:-125829375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94999999999999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80000000000001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1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330200</wp:posOffset>
                </wp:positionV>
                <wp:extent cx="1341120" cy="2527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2.60000000000002pt;margin-top:26.pt;width:105.60000000000001pt;height:19.900000000000002pt;z-index:-125829372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3657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80.90000000000003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Кутейников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80.90000000000003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ХЛЕБНИКОВА АНАСТАСИЯ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00BDC586F2C22E8641</w:t>
      </w:r>
      <w:r>
        <w:rPr>
          <w:rStyle w:val="CharStyle22"/>
        </w:rPr>
        <w:t>81858031</w:t>
      </w:r>
      <w:r>
        <w:rPr>
          <w:rStyle w:val="CharStyle22"/>
          <w:lang w:val="en-US" w:eastAsia="en-US"/>
        </w:rPr>
        <w:t>D</w:t>
      </w:r>
      <w:r>
        <w:rPr>
          <w:rStyle w:val="CharStyle22"/>
        </w:rPr>
        <w:t>1</w:t>
      </w:r>
      <w:r>
        <w:rPr>
          <w:rStyle w:val="CharStyle22"/>
          <w:color w:val="292929"/>
        </w:rPr>
        <w:t>6А11</w:t>
      </w:r>
      <w:r>
        <w:rPr>
          <w:rStyle w:val="CharStyle22"/>
        </w:rPr>
        <w:t>13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rStyle w:val="CharStyle22"/>
        </w:rPr>
        <w:t>Действителен с 31.1</w:t>
      </w:r>
      <w:r>
        <w:rPr>
          <w:rStyle w:val="CharStyle22"/>
          <w:color w:val="5D5D5D"/>
        </w:rPr>
        <w:t xml:space="preserve">0.2025 по </w:t>
      </w:r>
      <w:r>
        <w:rPr>
          <w:rStyle w:val="CharStyle22"/>
          <w:color w:val="292929"/>
        </w:rPr>
        <w:t>24.01</w:t>
      </w:r>
      <w:r>
        <w:rPr>
          <w:rStyle w:val="CharStyle22"/>
        </w:rPr>
        <w:t>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2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00000000000003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200000000000003pt;margin-top:794.70000000000005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57.200000000000003pt;margin-top:794.70000000000005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210185</wp:posOffset>
              </wp:positionV>
              <wp:extent cx="1339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35000000000002pt;margin-top:16.550000000000001pt;width:10.5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3716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6.10000000000002pt;margin-top:37.5pt;width:10.8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210185</wp:posOffset>
              </wp:positionV>
              <wp:extent cx="13398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6.35000000000002pt;margin-top:16.550000000000001pt;width:10.550000000000001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3716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6.10000000000002pt;margin-top:37.5pt;width:10.80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210185</wp:posOffset>
              </wp:positionV>
              <wp:extent cx="133985" cy="698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6.35000000000002pt;margin-top:16.550000000000001pt;width:10.550000000000001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37160" cy="6985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6.10000000000002pt;margin-top:37.5pt;width:10.800000000000001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210185</wp:posOffset>
              </wp:positionV>
              <wp:extent cx="133985" cy="6985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35000000000002pt;margin-top:16.550000000000001pt;width:10.550000000000001pt;height:5.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37160" cy="6985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6.10000000000002pt;margin-top:37.5pt;width:10.800000000000001pt;height:5.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Relationship Id="rId11" Type="http://schemas.openxmlformats.org/officeDocument/2006/relationships/header" Target="header4.xml"/><Relationship Id="rId12" Type="http://schemas.openxmlformats.org/officeDocument/2006/relationships/footer" Target="footer2.xml"/><Relationship Id="rId13" Type="http://schemas.openxmlformats.org/officeDocument/2006/relationships/header" Target="header5.xml"/><Relationship Id="rId14" Type="http://schemas.openxmlformats.org/officeDocument/2006/relationships/footer" Target="footer3.xml"/><Relationship Id="rId15" Type="http://schemas.openxmlformats.org/officeDocument/2006/relationships/header" Target="header6.xml"/><Relationship Id="rId16" Type="http://schemas.openxmlformats.org/officeDocument/2006/relationships/footer" Target="footer4.xml"/><Relationship Id="rId17" Type="http://schemas.openxmlformats.org/officeDocument/2006/relationships/header" Target="header7.xml"/><Relationship Id="rId18" Type="http://schemas.openxmlformats.org/officeDocument/2006/relationships/footer" Target="footer5.xml"/><Relationship Id="rId19" Type="http://schemas.openxmlformats.org/officeDocument/2006/relationships/header" Target="header8.xml"/><Relationship Id="rId20" Type="http://schemas.openxmlformats.org/officeDocument/2006/relationships/footer" Target="footer6.xml"/><Relationship Id="rId21" Type="http://schemas.openxmlformats.org/officeDocument/2006/relationships/header" Target="header9.xml"/><Relationship Id="rId22" Type="http://schemas.openxmlformats.org/officeDocument/2006/relationships/footer" Target="footer7.xml"/><Relationship Id="rId23" Type="http://schemas.openxmlformats.org/officeDocument/2006/relationships/image" Target="media/image2.jpeg"/><Relationship Id="rId24" Type="http://schemas.openxmlformats.org/officeDocument/2006/relationships/image" Target="media/image2.jpeg" TargetMode="External"/><Relationship Id="rId25" Type="http://schemas.openxmlformats.org/officeDocument/2006/relationships/image" Target="media/image3.jpeg"/><Relationship Id="rId26" Type="http://schemas.openxmlformats.org/officeDocument/2006/relationships/image" Target="media/image3.jpeg" TargetMode="External"/><Relationship Id="rId27" Type="http://schemas.openxmlformats.org/officeDocument/2006/relationships/image" Target="media/image4.jpeg"/><Relationship Id="rId28" Type="http://schemas.openxmlformats.org/officeDocument/2006/relationships/image" Target="media/image4.jpeg" TargetMode="External"/></Relationships>
</file>