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720725</wp:posOffset>
                </wp:positionH>
                <wp:positionV relativeFrom="paragraph">
                  <wp:posOffset>716280</wp:posOffset>
                </wp:positionV>
                <wp:extent cx="2581910" cy="1755775"/>
                <wp:wrapSquare wrapText="bothSides"/>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ind w:left="0" w:right="0" w:firstLine="0"/>
                              <w:jc w:val="center"/>
                            </w:pPr>
                            <w:r>
                              <w:rPr>
                                <w:rStyle w:val="CharStyle3"/>
                              </w:rPr>
                              <w:t>Александра Невского, 1</w:t>
                            </w:r>
                          </w:p>
                          <w:p>
                            <w:pPr>
                              <w:pStyle w:val="Style2"/>
                              <w:keepNext w:val="0"/>
                              <w:keepLines w:val="0"/>
                              <w:widowControl w:val="0"/>
                              <w:shd w:val="clear" w:color="auto" w:fill="auto"/>
                              <w:bidi w:val="0"/>
                              <w:spacing w:before="0" w:after="200"/>
                              <w:ind w:left="0" w:right="0" w:firstLine="0"/>
                              <w:jc w:val="center"/>
                            </w:pPr>
                            <w:r>
                              <w:rPr>
                                <w:rStyle w:val="CharStyle3"/>
                              </w:rPr>
                              <w:t>Симферополь, Республика Крым, 295000</w:t>
                              <w:br/>
                              <w:t>тел. (499) 755-23-23 доб. 082-100</w:t>
                              <w:br/>
                            </w:r>
                            <w:r>
                              <w:rPr>
                                <w:rStyle w:val="CharStyle3"/>
                                <w:lang w:val="en-US" w:eastAsia="en-US"/>
                              </w:rPr>
                              <w:t xml:space="preserve">e-mail: </w:t>
                            </w:r>
                            <w:r>
                              <w:fldChar w:fldCharType="begin"/>
                            </w:r>
                            <w:r>
                              <w:rPr/>
                              <w:instrText> HYPERLINK "mailto:to82@fas.gov.ru" </w:instrText>
                            </w:r>
                            <w:r>
                              <w:fldChar w:fldCharType="separate"/>
                            </w:r>
                            <w:r>
                              <w:rPr>
                                <w:rStyle w:val="CharStyle3"/>
                                <w:lang w:val="en-US" w:eastAsia="en-US"/>
                              </w:rPr>
                              <w:t>to82@fas.gov.ru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line="264" w:lineRule="auto"/>
                              <w:ind w:left="0" w:right="0" w:firstLine="0"/>
                              <w:jc w:val="left"/>
                              <w:rPr>
                                <w:sz w:val="18"/>
                                <w:szCs w:val="18"/>
                              </w:rPr>
                            </w:pPr>
                            <w:r>
                              <w:rPr>
                                <w:rStyle w:val="CharStyle6"/>
                                <w:sz w:val="18"/>
                                <w:szCs w:val="18"/>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56.399999999999999pt;width:203.30000000000001pt;height:138.2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ind w:left="0" w:right="0" w:firstLine="0"/>
                        <w:jc w:val="center"/>
                      </w:pPr>
                      <w:r>
                        <w:rPr>
                          <w:rStyle w:val="CharStyle3"/>
                        </w:rPr>
                        <w:t>Александра Невского, 1</w:t>
                      </w:r>
                    </w:p>
                    <w:p>
                      <w:pPr>
                        <w:pStyle w:val="Style2"/>
                        <w:keepNext w:val="0"/>
                        <w:keepLines w:val="0"/>
                        <w:widowControl w:val="0"/>
                        <w:shd w:val="clear" w:color="auto" w:fill="auto"/>
                        <w:bidi w:val="0"/>
                        <w:spacing w:before="0" w:after="200"/>
                        <w:ind w:left="0" w:right="0" w:firstLine="0"/>
                        <w:jc w:val="center"/>
                      </w:pPr>
                      <w:r>
                        <w:rPr>
                          <w:rStyle w:val="CharStyle3"/>
                        </w:rPr>
                        <w:t>Симферополь, Республика Крым, 295000</w:t>
                        <w:br/>
                        <w:t>тел. (499) 755-23-23 доб. 082-100</w:t>
                        <w:br/>
                      </w:r>
                      <w:r>
                        <w:rPr>
                          <w:rStyle w:val="CharStyle3"/>
                          <w:lang w:val="en-US" w:eastAsia="en-US"/>
                        </w:rPr>
                        <w:t xml:space="preserve">e-mail: </w:t>
                      </w:r>
                      <w:r>
                        <w:fldChar w:fldCharType="begin"/>
                      </w:r>
                      <w:r>
                        <w:rPr/>
                        <w:instrText> HYPERLINK "mailto:to82@fas.gov.ru" </w:instrText>
                      </w:r>
                      <w:r>
                        <w:fldChar w:fldCharType="separate"/>
                      </w:r>
                      <w:r>
                        <w:rPr>
                          <w:rStyle w:val="CharStyle3"/>
                          <w:lang w:val="en-US" w:eastAsia="en-US"/>
                        </w:rPr>
                        <w:t>to82@fas.gov.ru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line="264" w:lineRule="auto"/>
                        <w:ind w:left="0" w:right="0" w:firstLine="0"/>
                        <w:jc w:val="left"/>
                        <w:rPr>
                          <w:sz w:val="18"/>
                          <w:szCs w:val="18"/>
                        </w:rPr>
                      </w:pPr>
                      <w:r>
                        <w:rPr>
                          <w:rStyle w:val="CharStyle6"/>
                          <w:sz w:val="18"/>
                          <w:szCs w:val="18"/>
                        </w:rPr>
                        <w:tab/>
                        <w:t xml:space="preserve"> №</w:t>
                        <w:tab/>
                      </w:r>
                    </w:p>
                  </w:txbxContent>
                </v:textbox>
                <w10:wrap type="square" anchorx="page"/>
              </v:shape>
            </w:pict>
          </mc:Fallback>
        </mc:AlternateContent>
      </w:r>
      <w:r>
        <w:drawing>
          <wp:anchor distT="435610" distB="0" distL="120650" distR="114300" simplePos="0" relativeHeight="125829381" behindDoc="0" locked="0" layoutInCell="1" allowOverlap="1">
            <wp:simplePos x="0" y="0"/>
            <wp:positionH relativeFrom="page">
              <wp:posOffset>727075</wp:posOffset>
            </wp:positionH>
            <wp:positionV relativeFrom="paragraph">
              <wp:posOffset>3084195</wp:posOffset>
            </wp:positionV>
            <wp:extent cx="2597150" cy="18288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720725</wp:posOffset>
                </wp:positionH>
                <wp:positionV relativeFrom="paragraph">
                  <wp:posOffset>2648585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8"/>
                              <w:keepNext w:val="0"/>
                              <w:keepLines w:val="0"/>
                              <w:widowControl w:val="0"/>
                              <w:shd w:val="clear" w:color="auto" w:fill="auto"/>
                              <w:bidi w:val="0"/>
                              <w:spacing w:before="0" w:after="0" w:line="264" w:lineRule="auto"/>
                              <w:ind w:left="0" w:right="0" w:firstLine="0"/>
                              <w:jc w:val="left"/>
                              <w:rPr>
                                <w:sz w:val="18"/>
                                <w:szCs w:val="18"/>
                              </w:rPr>
                            </w:pPr>
                            <w:r>
                              <w:rPr>
                                <w:rStyle w:val="CharStyle9"/>
                                <w:rFonts w:ascii="Times New Roman" w:eastAsia="Times New Roman" w:hAnsi="Times New Roman" w:cs="Times New Roman"/>
                                <w:color w:val="476198"/>
                                <w:sz w:val="18"/>
                                <w:szCs w:val="18"/>
                              </w:rPr>
                              <w:t xml:space="preserve">На №  от</w:t>
                            </w:r>
                          </w:p>
                        </w:txbxContent>
                      </wps:txbx>
                      <wps:bodyPr lIns="0" tIns="0" rIns="0" bIns="0">
                        <a:noAutoFit/>
                      </wps:bodyPr>
                    </wps:wsp>
                  </a:graphicData>
                </a:graphic>
              </wp:anchor>
            </w:drawing>
          </mc:Choice>
          <mc:Fallback>
            <w:pict>
              <v:shape id="_x0000_s1033" type="#_x0000_t202" style="position:absolute;margin-left:56.75pt;margin-top:208.55000000000001pt;width:203.30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64" w:lineRule="auto"/>
                        <w:ind w:left="0" w:right="0" w:firstLine="0"/>
                        <w:jc w:val="left"/>
                        <w:rPr>
                          <w:sz w:val="18"/>
                          <w:szCs w:val="18"/>
                        </w:rPr>
                      </w:pPr>
                      <w:r>
                        <w:rPr>
                          <w:rStyle w:val="CharStyle9"/>
                          <w:rFonts w:ascii="Times New Roman" w:eastAsia="Times New Roman" w:hAnsi="Times New Roman" w:cs="Times New Roman"/>
                          <w:color w:val="476198"/>
                          <w:sz w:val="18"/>
                          <w:szCs w:val="18"/>
                        </w:rPr>
                        <w:t xml:space="preserve">На №  от</w:t>
                      </w:r>
                    </w:p>
                  </w:txbxContent>
                </v:textbox>
                <w10:wrap anchorx="page"/>
              </v:shape>
            </w:pict>
          </mc:Fallback>
        </mc:AlternateContent>
      </w:r>
    </w:p>
    <w:p>
      <w:pPr>
        <w:pStyle w:val="Style11"/>
        <w:keepNext w:val="0"/>
        <w:keepLines w:val="0"/>
        <w:widowControl w:val="0"/>
        <w:shd w:val="clear" w:color="auto" w:fill="auto"/>
        <w:bidi w:val="0"/>
        <w:spacing w:before="0" w:after="0"/>
        <w:ind w:left="0" w:right="0" w:firstLine="0"/>
        <w:jc w:val="left"/>
      </w:pPr>
      <w:r>
        <w:rPr>
          <w:rStyle w:val="CharStyle12"/>
        </w:rPr>
        <w:t>Заявитель:</w:t>
      </w:r>
    </w:p>
    <w:p>
      <w:pPr>
        <w:pStyle w:val="Style11"/>
        <w:keepNext w:val="0"/>
        <w:keepLines w:val="0"/>
        <w:widowControl w:val="0"/>
        <w:shd w:val="clear" w:color="auto" w:fill="auto"/>
        <w:bidi w:val="0"/>
        <w:spacing w:before="0" w:after="320"/>
        <w:ind w:left="0" w:right="0" w:firstLine="0"/>
        <w:jc w:val="left"/>
      </w:pPr>
      <w:r>
        <w:rPr>
          <w:rStyle w:val="CharStyle12"/>
        </w:rPr>
        <w:t>ООО «Ника»</w:t>
      </w:r>
    </w:p>
    <w:p>
      <w:pPr>
        <w:pStyle w:val="Style11"/>
        <w:keepNext w:val="0"/>
        <w:keepLines w:val="0"/>
        <w:widowControl w:val="0"/>
        <w:shd w:val="clear" w:color="auto" w:fill="auto"/>
        <w:bidi w:val="0"/>
        <w:spacing w:before="0" w:after="320"/>
        <w:ind w:left="0" w:right="0" w:firstLine="0"/>
        <w:jc w:val="left"/>
      </w:pPr>
      <w:r>
        <w:rPr>
          <w:rStyle w:val="CharStyle12"/>
        </w:rPr>
        <w:t>тер. ЖК Бутово-парк, д. 15, г. Видное, 142702</w:t>
      </w:r>
    </w:p>
    <w:p>
      <w:pPr>
        <w:pStyle w:val="Style11"/>
        <w:keepNext w:val="0"/>
        <w:keepLines w:val="0"/>
        <w:widowControl w:val="0"/>
        <w:shd w:val="clear" w:color="auto" w:fill="auto"/>
        <w:bidi w:val="0"/>
        <w:spacing w:before="0" w:after="320"/>
        <w:ind w:left="0" w:right="0" w:firstLine="0"/>
        <w:jc w:val="left"/>
      </w:pPr>
      <w:r>
        <w:fldChar w:fldCharType="begin"/>
      </w:r>
      <w:r>
        <w:rPr/>
        <w:instrText> HYPERLINK "mailto:avmitro@yandex.ru" </w:instrText>
      </w:r>
      <w:r>
        <w:fldChar w:fldCharType="separate"/>
      </w:r>
      <w:r>
        <w:rPr>
          <w:rStyle w:val="CharStyle12"/>
          <w:lang w:val="en-US" w:eastAsia="en-US"/>
        </w:rPr>
        <w:t>avmitro@yandex.ru</w:t>
      </w:r>
      <w:r>
        <w:fldChar w:fldCharType="end"/>
      </w:r>
    </w:p>
    <w:p>
      <w:pPr>
        <w:pStyle w:val="Style11"/>
        <w:keepNext w:val="0"/>
        <w:keepLines w:val="0"/>
        <w:widowControl w:val="0"/>
        <w:shd w:val="clear" w:color="auto" w:fill="auto"/>
        <w:bidi w:val="0"/>
        <w:spacing w:before="0" w:after="0"/>
        <w:ind w:left="0" w:right="0" w:firstLine="0"/>
        <w:jc w:val="left"/>
      </w:pPr>
      <w:r>
        <w:rPr>
          <w:rStyle w:val="CharStyle12"/>
        </w:rPr>
        <w:t>Заказчик:</w:t>
      </w:r>
    </w:p>
    <w:p>
      <w:pPr>
        <w:pStyle w:val="Style11"/>
        <w:keepNext w:val="0"/>
        <w:keepLines w:val="0"/>
        <w:widowControl w:val="0"/>
        <w:shd w:val="clear" w:color="auto" w:fill="auto"/>
        <w:bidi w:val="0"/>
        <w:spacing w:before="0" w:after="320"/>
        <w:ind w:left="0" w:right="0" w:firstLine="0"/>
        <w:jc w:val="left"/>
      </w:pPr>
      <w:r>
        <w:rPr>
          <w:rStyle w:val="CharStyle12"/>
        </w:rPr>
        <w:t>ГКУ «Медицинский склад № 1043»</w:t>
      </w:r>
    </w:p>
    <w:p>
      <w:pPr>
        <w:pStyle w:val="Style11"/>
        <w:keepNext w:val="0"/>
        <w:keepLines w:val="0"/>
        <w:widowControl w:val="0"/>
        <w:shd w:val="clear" w:color="auto" w:fill="auto"/>
        <w:bidi w:val="0"/>
        <w:spacing w:before="0" w:after="0"/>
        <w:ind w:left="0" w:right="0" w:firstLine="0"/>
        <w:jc w:val="left"/>
      </w:pPr>
      <w:r>
        <w:rPr>
          <w:rStyle w:val="CharStyle12"/>
        </w:rPr>
        <w:t>ул. Токарева, д. 2,</w:t>
      </w:r>
    </w:p>
    <w:p>
      <w:pPr>
        <w:pStyle w:val="Style11"/>
        <w:keepNext w:val="0"/>
        <w:keepLines w:val="0"/>
        <w:widowControl w:val="0"/>
        <w:shd w:val="clear" w:color="auto" w:fill="auto"/>
        <w:bidi w:val="0"/>
        <w:spacing w:before="0" w:after="320"/>
        <w:ind w:left="0" w:right="0" w:firstLine="0"/>
        <w:jc w:val="left"/>
      </w:pPr>
      <w:r>
        <w:rPr>
          <w:rStyle w:val="CharStyle12"/>
        </w:rPr>
        <w:t>г. Севастополь, 299029</w:t>
      </w:r>
    </w:p>
    <w:p>
      <w:pPr>
        <w:pStyle w:val="Style11"/>
        <w:keepNext w:val="0"/>
        <w:keepLines w:val="0"/>
        <w:widowControl w:val="0"/>
        <w:shd w:val="clear" w:color="auto" w:fill="auto"/>
        <w:bidi w:val="0"/>
        <w:spacing w:before="0" w:after="0"/>
        <w:ind w:left="0" w:right="0" w:firstLine="0"/>
        <w:jc w:val="left"/>
      </w:pPr>
      <w:r>
        <w:fldChar w:fldCharType="begin"/>
      </w:r>
      <w:r>
        <w:rPr/>
        <w:instrText> HYPERLINK "mailto:gdn@ms1043.ru" </w:instrText>
      </w:r>
      <w:r>
        <w:fldChar w:fldCharType="separate"/>
      </w:r>
      <w:r>
        <w:rPr>
          <w:rStyle w:val="CharStyle12"/>
          <w:lang w:val="en-US" w:eastAsia="en-US"/>
        </w:rPr>
        <w:t>gdn@ms1043.ru</w:t>
      </w:r>
      <w:r>
        <w:fldChar w:fldCharType="end"/>
      </w:r>
      <w:r>
        <w:rPr>
          <w:rStyle w:val="CharStyle12"/>
          <w:lang w:val="en-US" w:eastAsia="en-US"/>
        </w:rPr>
        <w:t>;</w:t>
      </w:r>
    </w:p>
    <w:p>
      <w:pPr>
        <w:pStyle w:val="Style11"/>
        <w:keepNext w:val="0"/>
        <w:keepLines w:val="0"/>
        <w:widowControl w:val="0"/>
        <w:shd w:val="clear" w:color="auto" w:fill="auto"/>
        <w:bidi w:val="0"/>
        <w:spacing w:before="0" w:after="320"/>
        <w:ind w:left="0" w:right="0" w:firstLine="0"/>
        <w:jc w:val="left"/>
      </w:pPr>
      <w:r>
        <w:fldChar w:fldCharType="begin"/>
      </w:r>
      <w:r>
        <w:rPr/>
        <w:instrText> HYPERLINK "mailto:medsklad_1043@sev.gov.ru" </w:instrText>
      </w:r>
      <w:r>
        <w:fldChar w:fldCharType="separate"/>
      </w:r>
      <w:r>
        <w:rPr>
          <w:rStyle w:val="CharStyle12"/>
          <w:lang w:val="en-US" w:eastAsia="en-US"/>
        </w:rPr>
        <w:t>medsklad_1043@sev.gov.ru</w:t>
      </w:r>
      <w:r>
        <w:fldChar w:fldCharType="end"/>
      </w:r>
    </w:p>
    <w:p>
      <w:pPr>
        <w:pStyle w:val="Style11"/>
        <w:keepNext w:val="0"/>
        <w:keepLines w:val="0"/>
        <w:widowControl w:val="0"/>
        <w:shd w:val="clear" w:color="auto" w:fill="auto"/>
        <w:bidi w:val="0"/>
        <w:spacing w:before="0" w:after="320"/>
        <w:ind w:left="0" w:right="0" w:firstLine="0"/>
        <w:jc w:val="left"/>
      </w:pPr>
      <w:r>
        <w:rPr>
          <w:rStyle w:val="CharStyle12"/>
        </w:rPr>
        <w:t>Уполномоченный орган: Департамент административно</w:t>
        <w:softHyphen/>
        <w:t>хозяйственного обеспечения исполнительных органов города Севастополя</w:t>
      </w:r>
    </w:p>
    <w:p>
      <w:pPr>
        <w:pStyle w:val="Style11"/>
        <w:keepNext w:val="0"/>
        <w:keepLines w:val="0"/>
        <w:widowControl w:val="0"/>
        <w:shd w:val="clear" w:color="auto" w:fill="auto"/>
        <w:bidi w:val="0"/>
        <w:spacing w:before="0" w:after="320"/>
        <w:ind w:left="0" w:right="0" w:firstLine="0"/>
        <w:jc w:val="left"/>
      </w:pPr>
      <w:r>
        <w:rPr>
          <w:rStyle w:val="CharStyle12"/>
        </w:rPr>
        <w:t>ул. Ленина, д. 2, г. Севастополь, 299011</w:t>
      </w:r>
    </w:p>
    <w:p>
      <w:pPr>
        <w:pStyle w:val="Style11"/>
        <w:keepNext w:val="0"/>
        <w:keepLines w:val="0"/>
        <w:widowControl w:val="0"/>
        <w:shd w:val="clear" w:color="auto" w:fill="auto"/>
        <w:bidi w:val="0"/>
        <w:spacing w:before="0" w:after="320"/>
        <w:ind w:left="0" w:right="0" w:firstLine="0"/>
        <w:jc w:val="left"/>
      </w:pPr>
      <w:r>
        <w:fldChar w:fldCharType="begin"/>
      </w:r>
      <w:r>
        <w:rPr/>
        <w:instrText> HYPERLINK "mailto:daho@sev.gov.ru" </w:instrText>
      </w:r>
      <w:r>
        <w:fldChar w:fldCharType="separate"/>
      </w:r>
      <w:r>
        <w:rPr>
          <w:rStyle w:val="CharStyle12"/>
          <w:lang w:val="en-US" w:eastAsia="en-US"/>
        </w:rPr>
        <w:t>daho@sev.gov.ru</w:t>
      </w:r>
      <w:r>
        <w:fldChar w:fldCharType="end"/>
      </w:r>
    </w:p>
    <w:p>
      <w:pPr>
        <w:pStyle w:val="Style11"/>
        <w:keepNext w:val="0"/>
        <w:keepLines w:val="0"/>
        <w:widowControl w:val="0"/>
        <w:shd w:val="clear" w:color="auto" w:fill="auto"/>
        <w:bidi w:val="0"/>
        <w:spacing w:before="0" w:after="320"/>
        <w:ind w:left="0" w:right="0" w:firstLine="0"/>
        <w:jc w:val="left"/>
      </w:pPr>
      <w:r>
        <w:rPr>
          <w:rStyle w:val="CharStyle12"/>
        </w:rPr>
        <w:t>Оператор электронной площадки: ООО «РТС-тендер»</w:t>
      </w:r>
    </w:p>
    <w:p>
      <w:pPr>
        <w:pStyle w:val="Style11"/>
        <w:keepNext w:val="0"/>
        <w:keepLines w:val="0"/>
        <w:widowControl w:val="0"/>
        <w:shd w:val="clear" w:color="auto" w:fill="auto"/>
        <w:bidi w:val="0"/>
        <w:spacing w:before="0" w:after="320"/>
        <w:ind w:left="0" w:right="0" w:firstLine="0"/>
        <w:jc w:val="left"/>
      </w:pPr>
      <w:r>
        <w:rPr>
          <w:rStyle w:val="CharStyle12"/>
        </w:rPr>
        <w:t>наб. Тараса Шевченко, д. 23А, Москва, 121151</w:t>
      </w:r>
    </w:p>
    <w:p>
      <w:pPr>
        <w:pStyle w:val="Style11"/>
        <w:keepNext w:val="0"/>
        <w:keepLines w:val="0"/>
        <w:widowControl w:val="0"/>
        <w:shd w:val="clear" w:color="auto" w:fill="auto"/>
        <w:bidi w:val="0"/>
        <w:spacing w:before="0" w:after="0"/>
        <w:ind w:left="0" w:right="0" w:firstLine="0"/>
        <w:jc w:val="left"/>
        <w:sectPr>
          <w:footerReference w:type="default" r:id="rId9"/>
          <w:footnotePr>
            <w:pos w:val="pageBottom"/>
            <w:numFmt w:val="decimal"/>
            <w:numRestart w:val="continuous"/>
          </w:footnotePr>
          <w:pgSz w:w="11900" w:h="16840"/>
          <w:pgMar w:top="279" w:right="1189" w:bottom="1217" w:left="6405" w:header="0" w:footer="3" w:gutter="0"/>
          <w:pgNumType w:start="1"/>
          <w:cols w:space="720"/>
          <w:noEndnote/>
          <w:rtlGutter w:val="0"/>
          <w:docGrid w:linePitch="360"/>
        </w:sectPr>
      </w:pPr>
      <w:r>
        <w:fldChar w:fldCharType="begin"/>
      </w:r>
      <w:r>
        <w:rPr/>
        <w:instrText> HYPERLINK "mailto:info@rts-tender.ru" </w:instrText>
      </w:r>
      <w:r>
        <w:fldChar w:fldCharType="separate"/>
      </w:r>
      <w:r>
        <w:rPr>
          <w:rStyle w:val="CharStyle12"/>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17" w:left="0" w:header="0" w:footer="3" w:gutter="0"/>
          <w:cols w:space="720"/>
          <w:noEndnote/>
          <w:rtlGutter w:val="0"/>
          <w:docGrid w:linePitch="360"/>
        </w:sectPr>
      </w:pPr>
    </w:p>
    <w:p>
      <w:pPr>
        <w:pStyle w:val="Style17"/>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546" w:bottom="1217" w:left="1097" w:header="0" w:footer="3" w:gutter="0"/>
          <w:cols w:space="720"/>
          <w:noEndnote/>
          <w:rtlGutter w:val="0"/>
          <w:docGrid w:linePitch="360"/>
        </w:sectPr>
      </w:pPr>
      <w:bookmarkStart w:id="0" w:name="bookmark0"/>
      <w:r>
        <w:rPr>
          <w:rStyle w:val="CharStyle18"/>
        </w:rPr>
        <w:t>1IIIIIIIIIIIIIIIIIIIIIII</w:t>
      </w:r>
      <w:bookmarkEnd w:id="0"/>
    </w:p>
    <w:p>
      <w:pPr>
        <w:pStyle w:val="Style11"/>
        <w:keepNext w:val="0"/>
        <w:keepLines w:val="0"/>
        <w:widowControl w:val="0"/>
        <w:shd w:val="clear" w:color="auto" w:fill="auto"/>
        <w:bidi w:val="0"/>
        <w:spacing w:before="0" w:after="0"/>
        <w:ind w:left="0" w:right="0" w:firstLine="0"/>
        <w:jc w:val="center"/>
      </w:pPr>
      <w:r>
        <w:rPr>
          <w:rStyle w:val="CharStyle12"/>
        </w:rPr>
        <w:t>Решение</w:t>
      </w:r>
    </w:p>
    <w:p>
      <w:pPr>
        <w:pStyle w:val="Style11"/>
        <w:keepNext w:val="0"/>
        <w:keepLines w:val="0"/>
        <w:widowControl w:val="0"/>
        <w:shd w:val="clear" w:color="auto" w:fill="auto"/>
        <w:bidi w:val="0"/>
        <w:spacing w:before="0" w:after="380"/>
        <w:ind w:left="0" w:right="0" w:firstLine="0"/>
        <w:jc w:val="center"/>
      </w:pPr>
      <w:r>
        <w:rPr>
          <w:rStyle w:val="CharStyle12"/>
        </w:rPr>
        <w:t xml:space="preserve">по делу </w:t>
      </w:r>
      <w:r>
        <w:rPr>
          <w:rStyle w:val="CharStyle12"/>
          <w:lang w:val="en-US" w:eastAsia="en-US"/>
        </w:rPr>
        <w:t>№ 082/06/105-823/2026</w:t>
      </w:r>
    </w:p>
    <w:p>
      <w:pPr>
        <w:pStyle w:val="Style11"/>
        <w:keepNext w:val="0"/>
        <w:keepLines w:val="0"/>
        <w:widowControl w:val="0"/>
        <w:shd w:val="clear" w:color="auto" w:fill="auto"/>
        <w:bidi w:val="0"/>
        <w:spacing w:before="0" w:after="0"/>
        <w:ind w:left="0" w:right="0" w:firstLine="0"/>
        <w:jc w:val="both"/>
      </w:pPr>
      <w:r>
        <w:rPr>
          <w:rStyle w:val="CharStyle12"/>
        </w:rPr>
        <w:t xml:space="preserve">Резолютивная часть решения объявлена </w:t>
      </w:r>
      <w:r>
        <w:rPr>
          <w:rStyle w:val="CharStyle12"/>
          <w:lang w:val="en-US" w:eastAsia="en-US"/>
        </w:rPr>
        <w:t>04.05.2026</w:t>
      </w:r>
    </w:p>
    <w:p>
      <w:pPr>
        <w:pStyle w:val="Style11"/>
        <w:keepNext w:val="0"/>
        <w:keepLines w:val="0"/>
        <w:widowControl w:val="0"/>
        <w:shd w:val="clear" w:color="auto" w:fill="auto"/>
        <w:tabs>
          <w:tab w:pos="8311" w:val="left"/>
        </w:tabs>
        <w:bidi w:val="0"/>
        <w:spacing w:before="0" w:after="340"/>
        <w:ind w:left="0" w:right="0" w:firstLine="0"/>
        <w:jc w:val="both"/>
      </w:pPr>
      <w:r>
        <w:rPr>
          <w:rStyle w:val="CharStyle12"/>
        </w:rPr>
        <w:t xml:space="preserve">Решение в полном объеме изготовлено </w:t>
      </w:r>
      <w:r>
        <w:rPr>
          <w:rStyle w:val="CharStyle12"/>
          <w:lang w:val="en-US" w:eastAsia="en-US"/>
        </w:rPr>
        <w:t>05.05.2026</w:t>
        <w:tab/>
      </w:r>
      <w:r>
        <w:rPr>
          <w:rStyle w:val="CharStyle12"/>
        </w:rPr>
        <w:t>г. Севастополь</w:t>
      </w:r>
    </w:p>
    <w:p>
      <w:pPr>
        <w:pStyle w:val="Style11"/>
        <w:keepNext w:val="0"/>
        <w:keepLines w:val="0"/>
        <w:widowControl w:val="0"/>
        <w:shd w:val="clear" w:color="auto" w:fill="auto"/>
        <w:bidi w:val="0"/>
        <w:spacing w:before="0" w:after="0"/>
        <w:ind w:left="0" w:right="0" w:firstLine="740"/>
        <w:jc w:val="both"/>
      </w:pPr>
      <w:r>
        <w:rPr>
          <w:rStyle w:val="CharStyle12"/>
        </w:rPr>
        <w:t xml:space="preserve">Комиссия Межрегионального управления Федеральной антимонопольной службы по Республике Крым и городу Севастополю (Крымское межрегиональное УФАС) (далее </w:t>
      </w:r>
      <w:r>
        <w:rPr>
          <w:rStyle w:val="CharStyle12"/>
          <w:lang w:val="en-US" w:eastAsia="en-US"/>
        </w:rPr>
        <w:t xml:space="preserve">– </w:t>
      </w:r>
      <w:r>
        <w:rPr>
          <w:rStyle w:val="CharStyle12"/>
        </w:rPr>
        <w:t>Комиссия, Управление) в составе:</w:t>
      </w:r>
    </w:p>
    <w:p>
      <w:pPr>
        <w:pStyle w:val="Style11"/>
        <w:keepNext w:val="0"/>
        <w:keepLines w:val="0"/>
        <w:widowControl w:val="0"/>
        <w:shd w:val="clear" w:color="auto" w:fill="auto"/>
        <w:bidi w:val="0"/>
        <w:spacing w:before="0" w:after="0"/>
        <w:ind w:left="0" w:right="0" w:firstLine="740"/>
        <w:jc w:val="both"/>
      </w:pPr>
      <w:r>
        <w:rPr>
          <w:rStyle w:val="CharStyle12"/>
        </w:rPr>
        <w:t xml:space="preserve">председатель Комиссии </w:t>
      </w:r>
      <w:r>
        <w:rPr>
          <w:rStyle w:val="CharStyle12"/>
          <w:lang w:val="en-US" w:eastAsia="en-US"/>
        </w:rPr>
        <w:t xml:space="preserve">– </w:t>
      </w:r>
      <w:r>
        <w:rPr>
          <w:rStyle w:val="CharStyle12"/>
        </w:rPr>
        <w:t xml:space="preserve">заместитель руководителя </w:t>
      </w:r>
      <w:r>
        <w:rPr>
          <w:rStyle w:val="CharStyle12"/>
          <w:lang w:val="en-US" w:eastAsia="en-US"/>
        </w:rPr>
        <w:t xml:space="preserve">– </w:t>
      </w:r>
      <w:r>
        <w:rPr>
          <w:rStyle w:val="CharStyle12"/>
        </w:rPr>
        <w:t xml:space="preserve">начальник отдела контроля за соблюдением антимонопольного законодательства, рекламы и контроля закупок города Севастополя (далее </w:t>
      </w:r>
      <w:r>
        <w:rPr>
          <w:rStyle w:val="CharStyle12"/>
          <w:lang w:val="en-US" w:eastAsia="en-US"/>
        </w:rPr>
        <w:t xml:space="preserve">– </w:t>
      </w:r>
      <w:r>
        <w:rPr>
          <w:rStyle w:val="CharStyle12"/>
        </w:rPr>
        <w:t xml:space="preserve">Отдел) Управления </w:t>
      </w:r>
      <w:r>
        <w:rPr>
          <w:rStyle w:val="CharStyle12"/>
          <w:lang w:val="en-US" w:eastAsia="en-US"/>
        </w:rPr>
        <w:t xml:space="preserve">– </w:t>
      </w:r>
      <w:r>
        <w:rPr>
          <w:rStyle w:val="CharStyle12"/>
        </w:rPr>
        <w:t>В.В. Мехтиев,</w:t>
      </w:r>
    </w:p>
    <w:p>
      <w:pPr>
        <w:pStyle w:val="Style11"/>
        <w:keepNext w:val="0"/>
        <w:keepLines w:val="0"/>
        <w:widowControl w:val="0"/>
        <w:shd w:val="clear" w:color="auto" w:fill="auto"/>
        <w:bidi w:val="0"/>
        <w:spacing w:before="0" w:after="0"/>
        <w:ind w:left="0" w:right="0" w:firstLine="740"/>
        <w:jc w:val="both"/>
      </w:pPr>
      <w:r>
        <w:rPr>
          <w:rStyle w:val="CharStyle12"/>
        </w:rPr>
        <w:t>члены Комиссии:</w:t>
      </w:r>
    </w:p>
    <w:p>
      <w:pPr>
        <w:pStyle w:val="Style11"/>
        <w:keepNext w:val="0"/>
        <w:keepLines w:val="0"/>
        <w:widowControl w:val="0"/>
        <w:shd w:val="clear" w:color="auto" w:fill="auto"/>
        <w:bidi w:val="0"/>
        <w:spacing w:before="0" w:after="0"/>
        <w:ind w:left="0" w:right="0" w:firstLine="740"/>
        <w:jc w:val="both"/>
      </w:pPr>
      <w:r>
        <w:rPr>
          <w:rStyle w:val="CharStyle12"/>
        </w:rPr>
        <w:t xml:space="preserve">главный специалист-эксперт Отдела Управления </w:t>
      </w:r>
      <w:r>
        <w:rPr>
          <w:rStyle w:val="CharStyle12"/>
          <w:lang w:val="en-US" w:eastAsia="en-US"/>
        </w:rPr>
        <w:t xml:space="preserve">— </w:t>
      </w:r>
      <w:r>
        <w:rPr>
          <w:rStyle w:val="CharStyle12"/>
        </w:rPr>
        <w:t>Е.А. Вилочева,</w:t>
      </w:r>
    </w:p>
    <w:p>
      <w:pPr>
        <w:pStyle w:val="Style11"/>
        <w:keepNext w:val="0"/>
        <w:keepLines w:val="0"/>
        <w:widowControl w:val="0"/>
        <w:shd w:val="clear" w:color="auto" w:fill="auto"/>
        <w:bidi w:val="0"/>
        <w:spacing w:before="0" w:after="0"/>
        <w:ind w:left="0" w:right="0" w:firstLine="740"/>
        <w:jc w:val="both"/>
      </w:pPr>
      <w:r>
        <w:rPr>
          <w:rStyle w:val="CharStyle12"/>
        </w:rPr>
        <w:t xml:space="preserve">специалист-эксперт Отдела Управления </w:t>
      </w:r>
      <w:r>
        <w:rPr>
          <w:rStyle w:val="CharStyle12"/>
          <w:lang w:val="en-US" w:eastAsia="en-US"/>
        </w:rPr>
        <w:t xml:space="preserve">— </w:t>
      </w:r>
      <w:r>
        <w:rPr>
          <w:rStyle w:val="CharStyle12"/>
        </w:rPr>
        <w:t>М.Д. Сергеева,</w:t>
      </w:r>
    </w:p>
    <w:p>
      <w:pPr>
        <w:pStyle w:val="Style11"/>
        <w:keepNext w:val="0"/>
        <w:keepLines w:val="0"/>
        <w:widowControl w:val="0"/>
        <w:shd w:val="clear" w:color="auto" w:fill="auto"/>
        <w:bidi w:val="0"/>
        <w:spacing w:before="0" w:after="0"/>
        <w:ind w:left="0" w:right="0" w:firstLine="740"/>
        <w:jc w:val="both"/>
      </w:pPr>
      <w:r>
        <w:rPr>
          <w:rStyle w:val="CharStyle12"/>
        </w:rPr>
        <w:t>при участии представителей интересов:</w:t>
      </w:r>
    </w:p>
    <w:p>
      <w:pPr>
        <w:pStyle w:val="Style11"/>
        <w:keepNext w:val="0"/>
        <w:keepLines w:val="0"/>
        <w:widowControl w:val="0"/>
        <w:shd w:val="clear" w:color="auto" w:fill="auto"/>
        <w:bidi w:val="0"/>
        <w:spacing w:before="0" w:after="0"/>
        <w:ind w:left="0" w:right="0" w:firstLine="740"/>
        <w:jc w:val="both"/>
      </w:pPr>
      <w:r>
        <w:rPr>
          <w:rStyle w:val="CharStyle12"/>
          <w:lang w:val="en-US" w:eastAsia="en-US"/>
        </w:rPr>
        <w:t xml:space="preserve">– </w:t>
      </w:r>
      <w:r>
        <w:rPr>
          <w:rStyle w:val="CharStyle12"/>
        </w:rPr>
        <w:t xml:space="preserve">ООО «Ника» (далее </w:t>
      </w:r>
      <w:r>
        <w:rPr>
          <w:rStyle w:val="CharStyle12"/>
          <w:lang w:val="en-US" w:eastAsia="en-US"/>
        </w:rPr>
        <w:t xml:space="preserve">– </w:t>
      </w:r>
      <w:r>
        <w:rPr>
          <w:rStyle w:val="CharStyle12"/>
        </w:rPr>
        <w:t xml:space="preserve">Заявитель) </w:t>
      </w:r>
      <w:r>
        <w:rPr>
          <w:rStyle w:val="CharStyle12"/>
          <w:lang w:val="en-US" w:eastAsia="en-US"/>
        </w:rPr>
        <w:t xml:space="preserve">– </w:t>
      </w:r>
      <w:r>
        <w:rPr>
          <w:rStyle w:val="CharStyle12"/>
        </w:rPr>
        <w:t>А.В. Арофанов на основании выписки из ЕГРЮЛ,</w:t>
      </w:r>
    </w:p>
    <w:p>
      <w:pPr>
        <w:pStyle w:val="Style11"/>
        <w:keepNext w:val="0"/>
        <w:keepLines w:val="0"/>
        <w:widowControl w:val="0"/>
        <w:shd w:val="clear" w:color="auto" w:fill="auto"/>
        <w:bidi w:val="0"/>
        <w:spacing w:before="0" w:after="0"/>
        <w:ind w:left="0" w:right="0" w:firstLine="740"/>
        <w:jc w:val="both"/>
      </w:pPr>
      <w:r>
        <w:rPr>
          <w:rStyle w:val="CharStyle12"/>
          <w:lang w:val="en-US" w:eastAsia="en-US"/>
        </w:rPr>
        <w:t xml:space="preserve">– </w:t>
      </w:r>
      <w:r>
        <w:rPr>
          <w:rStyle w:val="CharStyle12"/>
        </w:rPr>
        <w:t xml:space="preserve">ГКУ «Медицинский склад </w:t>
      </w:r>
      <w:r>
        <w:rPr>
          <w:rStyle w:val="CharStyle12"/>
          <w:lang w:val="en-US" w:eastAsia="en-US"/>
        </w:rPr>
        <w:t xml:space="preserve">№ 1043» </w:t>
      </w:r>
      <w:r>
        <w:rPr>
          <w:rStyle w:val="CharStyle12"/>
        </w:rPr>
        <w:t xml:space="preserve">(далее </w:t>
      </w:r>
      <w:r>
        <w:rPr>
          <w:rStyle w:val="CharStyle12"/>
          <w:lang w:val="en-US" w:eastAsia="en-US"/>
        </w:rPr>
        <w:t xml:space="preserve">– </w:t>
      </w:r>
      <w:r>
        <w:rPr>
          <w:rStyle w:val="CharStyle12"/>
        </w:rPr>
        <w:t xml:space="preserve">Заказчик) </w:t>
      </w:r>
      <w:r>
        <w:rPr>
          <w:rStyle w:val="CharStyle12"/>
          <w:lang w:val="en-US" w:eastAsia="en-US"/>
        </w:rPr>
        <w:t xml:space="preserve">– </w:t>
      </w:r>
      <w:r>
        <w:rPr>
          <w:rStyle w:val="CharStyle12"/>
        </w:rPr>
        <w:t xml:space="preserve">Д.Н. Голобоков по доверенности </w:t>
      </w:r>
      <w:r>
        <w:rPr>
          <w:rStyle w:val="CharStyle12"/>
          <w:lang w:val="en-US" w:eastAsia="en-US"/>
        </w:rPr>
        <w:t xml:space="preserve">№ 25 </w:t>
      </w:r>
      <w:r>
        <w:rPr>
          <w:rStyle w:val="CharStyle12"/>
        </w:rPr>
        <w:t xml:space="preserve">от </w:t>
      </w:r>
      <w:r>
        <w:rPr>
          <w:rStyle w:val="CharStyle12"/>
          <w:lang w:val="en-US" w:eastAsia="en-US"/>
        </w:rPr>
        <w:t>25.02.2026,</w:t>
      </w:r>
    </w:p>
    <w:p>
      <w:pPr>
        <w:pStyle w:val="Style11"/>
        <w:keepNext w:val="0"/>
        <w:keepLines w:val="0"/>
        <w:widowControl w:val="0"/>
        <w:shd w:val="clear" w:color="auto" w:fill="auto"/>
        <w:bidi w:val="0"/>
        <w:spacing w:before="0" w:after="0"/>
        <w:ind w:left="0" w:right="0" w:firstLine="740"/>
        <w:jc w:val="both"/>
      </w:pPr>
      <w:r>
        <w:rPr>
          <w:rStyle w:val="CharStyle12"/>
          <w:lang w:val="en-US" w:eastAsia="en-US"/>
        </w:rPr>
        <w:t xml:space="preserve">– </w:t>
      </w:r>
      <w:r>
        <w:rPr>
          <w:rStyle w:val="CharStyle12"/>
        </w:rPr>
        <w:t xml:space="preserve">ИП Дубровина Е.Б. (далее </w:t>
      </w:r>
      <w:r>
        <w:rPr>
          <w:rStyle w:val="CharStyle12"/>
          <w:lang w:val="en-US" w:eastAsia="en-US"/>
        </w:rPr>
        <w:t xml:space="preserve">– </w:t>
      </w:r>
      <w:r>
        <w:rPr>
          <w:rStyle w:val="CharStyle12"/>
        </w:rPr>
        <w:t xml:space="preserve">победитель Закупки) </w:t>
      </w:r>
      <w:r>
        <w:rPr>
          <w:rStyle w:val="CharStyle12"/>
          <w:lang w:val="en-US" w:eastAsia="en-US"/>
        </w:rPr>
        <w:t xml:space="preserve">– </w:t>
      </w:r>
      <w:r>
        <w:rPr>
          <w:rStyle w:val="CharStyle12"/>
        </w:rPr>
        <w:t xml:space="preserve">О.В. Крылова по доверенности </w:t>
      </w:r>
      <w:r>
        <w:rPr>
          <w:rStyle w:val="CharStyle12"/>
          <w:lang w:val="en-US" w:eastAsia="en-US"/>
        </w:rPr>
        <w:t xml:space="preserve">№ 6 </w:t>
      </w:r>
      <w:r>
        <w:rPr>
          <w:rStyle w:val="CharStyle12"/>
        </w:rPr>
        <w:t xml:space="preserve">от </w:t>
      </w:r>
      <w:r>
        <w:rPr>
          <w:rStyle w:val="CharStyle12"/>
          <w:lang w:val="en-US" w:eastAsia="en-US"/>
        </w:rPr>
        <w:t>30.04.2026,</w:t>
      </w:r>
    </w:p>
    <w:p>
      <w:pPr>
        <w:pStyle w:val="Style11"/>
        <w:keepNext w:val="0"/>
        <w:keepLines w:val="0"/>
        <w:widowControl w:val="0"/>
        <w:shd w:val="clear" w:color="auto" w:fill="auto"/>
        <w:tabs>
          <w:tab w:pos="2203" w:val="left"/>
          <w:tab w:pos="3802" w:val="left"/>
          <w:tab w:pos="6062" w:val="left"/>
          <w:tab w:pos="8311" w:val="left"/>
        </w:tabs>
        <w:bidi w:val="0"/>
        <w:spacing w:before="0" w:after="0"/>
        <w:ind w:left="0" w:right="0" w:firstLine="740"/>
        <w:jc w:val="both"/>
      </w:pPr>
      <w:r>
        <w:rPr>
          <w:rStyle w:val="CharStyle12"/>
        </w:rPr>
        <w:t>в ходе рассмотрения жалобы Заявителя на действия Заказчика при проведении закупки:</w:t>
        <w:tab/>
        <w:t>«на</w:t>
        <w:tab/>
        <w:t>поставку</w:t>
        <w:tab/>
        <w:t>системы</w:t>
        <w:tab/>
        <w:t>стабилографии»</w:t>
      </w:r>
    </w:p>
    <w:p>
      <w:pPr>
        <w:pStyle w:val="Style11"/>
        <w:keepNext w:val="0"/>
        <w:keepLines w:val="0"/>
        <w:widowControl w:val="0"/>
        <w:shd w:val="clear" w:color="auto" w:fill="auto"/>
        <w:bidi w:val="0"/>
        <w:spacing w:before="0" w:after="340"/>
        <w:ind w:left="0" w:right="0" w:firstLine="0"/>
        <w:jc w:val="both"/>
      </w:pPr>
      <w:r>
        <w:rPr>
          <w:rStyle w:val="CharStyle12"/>
        </w:rPr>
        <w:t xml:space="preserve">(извещение </w:t>
      </w:r>
      <w:r>
        <w:rPr>
          <w:rStyle w:val="CharStyle12"/>
          <w:lang w:val="en-US" w:eastAsia="en-US"/>
        </w:rPr>
        <w:t xml:space="preserve">№0174500001126002036) </w:t>
      </w:r>
      <w:r>
        <w:rPr>
          <w:rStyle w:val="CharStyle12"/>
        </w:rPr>
        <w:t xml:space="preserve">(далее </w:t>
      </w:r>
      <w:r>
        <w:rPr>
          <w:rStyle w:val="CharStyle12"/>
          <w:lang w:val="en-US" w:eastAsia="en-US"/>
        </w:rPr>
        <w:t xml:space="preserve">– </w:t>
      </w:r>
      <w:r>
        <w:rPr>
          <w:rStyle w:val="CharStyle12"/>
        </w:rPr>
        <w:t xml:space="preserve">Закупка), в соответствии со статьей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340"/>
        <w:ind w:left="0" w:right="0" w:firstLine="0"/>
        <w:jc w:val="center"/>
      </w:pPr>
      <w:r>
        <w:rPr>
          <w:rStyle w:val="CharStyle12"/>
        </w:rPr>
        <w:t>УСТАНОВИЛА:</w:t>
      </w:r>
    </w:p>
    <w:p>
      <w:pPr>
        <w:pStyle w:val="Style11"/>
        <w:keepNext w:val="0"/>
        <w:keepLines w:val="0"/>
        <w:widowControl w:val="0"/>
        <w:shd w:val="clear" w:color="auto" w:fill="auto"/>
        <w:bidi w:val="0"/>
        <w:spacing w:before="0" w:after="0"/>
        <w:ind w:left="0" w:right="0" w:firstLine="740"/>
        <w:jc w:val="both"/>
      </w:pPr>
      <w:r>
        <w:rPr>
          <w:rStyle w:val="CharStyle12"/>
        </w:rPr>
        <w:t>В Крымское межрегиональное УФАС поступила жалоба Заявителя на действия закупочной комиссии при проведении настоящей Закупки.</w:t>
      </w:r>
    </w:p>
    <w:p>
      <w:pPr>
        <w:pStyle w:val="Style11"/>
        <w:keepNext w:val="0"/>
        <w:keepLines w:val="0"/>
        <w:widowControl w:val="0"/>
        <w:shd w:val="clear" w:color="auto" w:fill="auto"/>
        <w:bidi w:val="0"/>
        <w:spacing w:before="0" w:after="0"/>
        <w:ind w:left="0" w:right="0" w:firstLine="740"/>
        <w:jc w:val="both"/>
      </w:pPr>
      <w:r>
        <w:rPr>
          <w:rStyle w:val="CharStyle12"/>
        </w:rPr>
        <w:t>Согласно доводам жалобы:</w:t>
      </w:r>
    </w:p>
    <w:p>
      <w:pPr>
        <w:pStyle w:val="Style11"/>
        <w:keepNext w:val="0"/>
        <w:keepLines w:val="0"/>
        <w:widowControl w:val="0"/>
        <w:shd w:val="clear" w:color="auto" w:fill="auto"/>
        <w:bidi w:val="0"/>
        <w:spacing w:before="0" w:after="340" w:line="329" w:lineRule="auto"/>
        <w:ind w:left="0" w:right="0" w:firstLine="740"/>
        <w:jc w:val="both"/>
        <w:rPr>
          <w:sz w:val="24"/>
          <w:szCs w:val="24"/>
        </w:rPr>
        <w:sectPr>
          <w:headerReference w:type="default" r:id="rId10"/>
          <w:footerReference w:type="default" r:id="rId11"/>
          <w:footnotePr>
            <w:pos w:val="pageBottom"/>
            <w:numFmt w:val="decimal"/>
            <w:numRestart w:val="continuous"/>
          </w:footnotePr>
          <w:pgSz w:w="11900" w:h="16840"/>
          <w:pgMar w:top="1666" w:right="546" w:bottom="735" w:left="1097" w:header="0" w:footer="307" w:gutter="0"/>
          <w:cols w:space="720"/>
          <w:noEndnote/>
          <w:rtlGutter w:val="0"/>
          <w:docGrid w:linePitch="360"/>
        </w:sectPr>
      </w:pPr>
      <w:r>
        <w:rPr>
          <w:rStyle w:val="CharStyle12"/>
        </w:rPr>
        <w:t>«</w:t>
      </w:r>
      <w:r>
        <w:rPr>
          <w:rStyle w:val="CharStyle12"/>
          <w:i/>
          <w:iCs/>
        </w:rPr>
        <w:t xml:space="preserve">Изучив извещение к электронному аукциону </w:t>
      </w:r>
      <w:r>
        <w:rPr>
          <w:rStyle w:val="CharStyle12"/>
          <w:i/>
          <w:iCs/>
          <w:lang w:val="en-US" w:eastAsia="en-US"/>
        </w:rPr>
        <w:t xml:space="preserve">№ 0174500001126002036 </w:t>
      </w:r>
      <w:r>
        <w:rPr>
          <w:rStyle w:val="CharStyle12"/>
          <w:i/>
          <w:iCs/>
        </w:rPr>
        <w:t xml:space="preserve">на поставку на поставку системы стабилографии </w:t>
      </w:r>
      <w:r>
        <w:rPr>
          <w:rStyle w:val="CharStyle12"/>
          <w:i/>
          <w:iCs/>
          <w:lang w:val="en-US" w:eastAsia="en-US"/>
        </w:rPr>
        <w:t xml:space="preserve">, </w:t>
      </w:r>
      <w:r>
        <w:rPr>
          <w:rStyle w:val="CharStyle12"/>
          <w:i/>
          <w:iCs/>
        </w:rPr>
        <w:t xml:space="preserve">Заявитель согласовал заявленные характеристики комплекса «Комплекс для диагностики и реабилитации навыков </w:t>
      </w:r>
      <w:r>
        <w:rPr>
          <w:rStyle w:val="CharStyle12"/>
          <w:sz w:val="24"/>
          <w:szCs w:val="24"/>
          <w:lang w:val="en-US" w:eastAsia="en-US"/>
        </w:rPr>
        <w:t>2026-6371</w:t>
      </w:r>
    </w:p>
    <w:p>
      <w:pPr>
        <w:pStyle w:val="Style11"/>
        <w:keepNext w:val="0"/>
        <w:keepLines w:val="0"/>
        <w:widowControl w:val="0"/>
        <w:shd w:val="clear" w:color="auto" w:fill="auto"/>
        <w:bidi w:val="0"/>
        <w:spacing w:before="0" w:after="0"/>
        <w:ind w:left="0" w:right="0" w:firstLine="0"/>
        <w:jc w:val="both"/>
      </w:pPr>
      <w:r>
        <w:rPr>
          <w:rStyle w:val="CharStyle12"/>
          <w:i/>
          <w:iCs/>
        </w:rPr>
        <w:t xml:space="preserve">баланса, осанки и движений «БАЛФИТ» по ТУ </w:t>
      </w:r>
      <w:r>
        <w:rPr>
          <w:rStyle w:val="CharStyle12"/>
          <w:i/>
          <w:iCs/>
          <w:lang w:val="en-US" w:eastAsia="en-US"/>
        </w:rPr>
        <w:t xml:space="preserve">26.60.12-006-63704475-2021 </w:t>
      </w:r>
      <w:r>
        <w:rPr>
          <w:rStyle w:val="CharStyle12"/>
          <w:i/>
          <w:iCs/>
        </w:rPr>
        <w:t>с принадлежностями» с заводом-производителем медицинской техники ООО «НЕВРОКОР» для участия в данном электронном аукционе. Все заявленные характеристики подтверждаются руководством по эксплуатации, размещенном на официальном сайте Росздравнадзора.</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Однако </w:t>
      </w:r>
      <w:r>
        <w:rPr>
          <w:rStyle w:val="CharStyle12"/>
          <w:i/>
          <w:iCs/>
          <w:lang w:val="en-US" w:eastAsia="en-US"/>
        </w:rPr>
        <w:t xml:space="preserve">, </w:t>
      </w:r>
      <w:r>
        <w:rPr>
          <w:rStyle w:val="CharStyle12"/>
          <w:i/>
          <w:iCs/>
        </w:rPr>
        <w:t xml:space="preserve">Комиссией по рассмотрении заявок в отношении заявки на участие </w:t>
      </w:r>
      <w:r>
        <w:rPr>
          <w:rStyle w:val="CharStyle12"/>
          <w:i/>
          <w:iCs/>
          <w:lang w:val="en-US" w:eastAsia="en-US"/>
        </w:rPr>
        <w:t xml:space="preserve">№ </w:t>
      </w:r>
      <w:r>
        <w:rPr>
          <w:rStyle w:val="CharStyle12"/>
          <w:i/>
          <w:iCs/>
        </w:rPr>
        <w:t>121032167(Заявитель) было принято решение о несоответствии заявки требованиям, предъявляемым к участникам закупки.</w:t>
      </w:r>
    </w:p>
    <w:p>
      <w:pPr>
        <w:pStyle w:val="Style11"/>
        <w:keepNext w:val="0"/>
        <w:keepLines w:val="0"/>
        <w:widowControl w:val="0"/>
        <w:shd w:val="clear" w:color="auto" w:fill="auto"/>
        <w:bidi w:val="0"/>
        <w:spacing w:before="0" w:after="0"/>
        <w:ind w:left="0" w:right="0" w:firstLine="760"/>
        <w:jc w:val="both"/>
      </w:pPr>
      <w:r>
        <w:rPr>
          <w:rStyle w:val="CharStyle12"/>
          <w:i/>
          <w:iCs/>
        </w:rPr>
        <w:t>Причина отклонения:</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Выявление недостоверной информации, содержащейся в заявке на участие в закупке (Отклонение по п. </w:t>
      </w:r>
      <w:r>
        <w:rPr>
          <w:rStyle w:val="CharStyle12"/>
          <w:i/>
          <w:iCs/>
          <w:lang w:val="en-US" w:eastAsia="en-US"/>
        </w:rPr>
        <w:t xml:space="preserve">8 </w:t>
      </w:r>
      <w:r>
        <w:rPr>
          <w:rStyle w:val="CharStyle12"/>
          <w:i/>
          <w:iCs/>
        </w:rPr>
        <w:t xml:space="preserve">ч. </w:t>
      </w:r>
      <w:r>
        <w:rPr>
          <w:rStyle w:val="CharStyle12"/>
          <w:i/>
          <w:iCs/>
          <w:lang w:val="en-US" w:eastAsia="en-US"/>
        </w:rPr>
        <w:t xml:space="preserve">12 </w:t>
      </w:r>
      <w:r>
        <w:rPr>
          <w:rStyle w:val="CharStyle12"/>
          <w:i/>
          <w:iCs/>
        </w:rPr>
        <w:t xml:space="preserve">ст. </w:t>
      </w:r>
      <w:r>
        <w:rPr>
          <w:rStyle w:val="CharStyle12"/>
          <w:i/>
          <w:iCs/>
          <w:lang w:val="en-US" w:eastAsia="en-US"/>
        </w:rPr>
        <w:t xml:space="preserve">48 </w:t>
      </w:r>
      <w:r>
        <w:rPr>
          <w:rStyle w:val="CharStyle12"/>
          <w:i/>
          <w:iCs/>
        </w:rPr>
        <w:t xml:space="preserve">Закона </w:t>
      </w:r>
      <w:r>
        <w:rPr>
          <w:rStyle w:val="CharStyle12"/>
          <w:i/>
          <w:iCs/>
          <w:lang w:val="en-US" w:eastAsia="en-US"/>
        </w:rPr>
        <w:t xml:space="preserve">№ </w:t>
      </w:r>
      <w:r>
        <w:rPr>
          <w:rStyle w:val="CharStyle12"/>
          <w:i/>
          <w:iCs/>
        </w:rPr>
        <w:t xml:space="preserve">44-ФЗ). Участник приложил выписку из реестра российской промышленной продукции (Реестровый номер </w:t>
      </w:r>
      <w:r>
        <w:rPr>
          <w:rStyle w:val="CharStyle12"/>
          <w:i/>
          <w:iCs/>
          <w:lang w:val="en-US" w:eastAsia="en-US"/>
        </w:rPr>
        <w:t xml:space="preserve">№ 10636738) </w:t>
      </w:r>
      <w:r>
        <w:rPr>
          <w:rStyle w:val="CharStyle12"/>
          <w:i/>
          <w:iCs/>
        </w:rPr>
        <w:t xml:space="preserve">Комплекс для диагностики и реабилитации навыков баланса, осанки и движений «БАЛФИТ» по ТУ </w:t>
      </w:r>
      <w:r>
        <w:rPr>
          <w:rStyle w:val="CharStyle12"/>
          <w:i/>
          <w:iCs/>
          <w:lang w:val="en-US" w:eastAsia="en-US"/>
        </w:rPr>
        <w:t xml:space="preserve">26.60.12-006-63704475-2021, </w:t>
      </w:r>
      <w:r>
        <w:rPr>
          <w:rStyle w:val="CharStyle12"/>
          <w:i/>
          <w:iCs/>
        </w:rPr>
        <w:t xml:space="preserve">исполнение </w:t>
      </w:r>
      <w:r>
        <w:rPr>
          <w:rStyle w:val="CharStyle12"/>
          <w:i/>
          <w:iCs/>
          <w:lang w:val="en-US" w:eastAsia="en-US"/>
        </w:rPr>
        <w:t>2.</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При этом Участник указал возможность "эффекта качания" для исполнения </w:t>
      </w:r>
      <w:r>
        <w:rPr>
          <w:rStyle w:val="CharStyle12"/>
          <w:i/>
          <w:iCs/>
          <w:lang w:val="en-US" w:eastAsia="en-US"/>
        </w:rPr>
        <w:t xml:space="preserve">2 </w:t>
      </w:r>
      <w:r>
        <w:rPr>
          <w:rStyle w:val="CharStyle12"/>
          <w:i/>
          <w:iCs/>
        </w:rPr>
        <w:t xml:space="preserve">комплекса «БАЛФИТ», хотя реестр медизделий (РЗН </w:t>
      </w:r>
      <w:r>
        <w:rPr>
          <w:rStyle w:val="CharStyle12"/>
          <w:i/>
          <w:iCs/>
          <w:lang w:val="en-US" w:eastAsia="en-US"/>
        </w:rPr>
        <w:t xml:space="preserve">2022/18688) </w:t>
      </w:r>
      <w:r>
        <w:rPr>
          <w:rStyle w:val="CharStyle12"/>
          <w:i/>
          <w:iCs/>
        </w:rPr>
        <w:t>подтверждает наличие стабилоплатформы (жесткой),т.е. отсутствие эффекта качания, а не балансплатформы (нестабильной с наклонами), что противоречит техзаданию в извещении.</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Заявитель готов предоставить при рассмотрении жалобы документацию </w:t>
      </w:r>
      <w:r>
        <w:rPr>
          <w:rStyle w:val="CharStyle12"/>
          <w:i/>
          <w:iCs/>
          <w:lang w:val="en-US" w:eastAsia="en-US"/>
        </w:rPr>
        <w:t xml:space="preserve">, </w:t>
      </w:r>
      <w:r>
        <w:rPr>
          <w:rStyle w:val="CharStyle12"/>
          <w:i/>
          <w:iCs/>
        </w:rPr>
        <w:t xml:space="preserve">подтверждающую соответствие техническому заданию Заказчика медицинского изделия представленного к закупке </w:t>
      </w:r>
      <w:r>
        <w:rPr>
          <w:rStyle w:val="CharStyle12"/>
          <w:i/>
          <w:iCs/>
          <w:lang w:val="en-US" w:eastAsia="en-US"/>
        </w:rPr>
        <w:t>.</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Также Заявитель направляет внимание УФАС на тот факт </w:t>
      </w:r>
      <w:r>
        <w:rPr>
          <w:rStyle w:val="CharStyle12"/>
          <w:i/>
          <w:iCs/>
          <w:lang w:val="en-US" w:eastAsia="en-US"/>
        </w:rPr>
        <w:t xml:space="preserve">, </w:t>
      </w:r>
      <w:r>
        <w:rPr>
          <w:rStyle w:val="CharStyle12"/>
          <w:i/>
          <w:iCs/>
        </w:rPr>
        <w:t xml:space="preserve">что данный ЭА проводится с применением национального режима по ст. </w:t>
      </w:r>
      <w:r>
        <w:rPr>
          <w:rStyle w:val="CharStyle12"/>
          <w:i/>
          <w:iCs/>
          <w:lang w:val="en-US" w:eastAsia="en-US"/>
        </w:rPr>
        <w:t xml:space="preserve">14 </w:t>
      </w:r>
      <w:r>
        <w:rPr>
          <w:rStyle w:val="CharStyle12"/>
          <w:i/>
          <w:iCs/>
        </w:rPr>
        <w:t xml:space="preserve">Закона </w:t>
      </w:r>
      <w:r>
        <w:rPr>
          <w:rStyle w:val="CharStyle12"/>
          <w:i/>
          <w:iCs/>
          <w:lang w:val="en-US" w:eastAsia="en-US"/>
        </w:rPr>
        <w:t xml:space="preserve">№ </w:t>
      </w:r>
      <w:r>
        <w:rPr>
          <w:rStyle w:val="CharStyle12"/>
          <w:i/>
          <w:iCs/>
        </w:rPr>
        <w:t xml:space="preserve">44-ФЗ Постановление Правительства Российской Федерации о мерах по предоставлению национального режима от </w:t>
      </w:r>
      <w:r>
        <w:rPr>
          <w:rStyle w:val="CharStyle12"/>
          <w:i/>
          <w:iCs/>
          <w:lang w:val="en-US" w:eastAsia="en-US"/>
        </w:rPr>
        <w:t>23.12.2024 № 1875.</w:t>
      </w:r>
    </w:p>
    <w:p>
      <w:pPr>
        <w:pStyle w:val="Style11"/>
        <w:keepNext w:val="0"/>
        <w:keepLines w:val="0"/>
        <w:widowControl w:val="0"/>
        <w:shd w:val="clear" w:color="auto" w:fill="auto"/>
        <w:bidi w:val="0"/>
        <w:spacing w:before="0" w:after="0"/>
        <w:ind w:left="0" w:right="0" w:firstLine="760"/>
        <w:jc w:val="both"/>
      </w:pPr>
      <w:r>
        <w:rPr>
          <w:rStyle w:val="CharStyle12"/>
          <w:i/>
          <w:iCs/>
        </w:rPr>
        <w:t>При этом подтверждением страны -производства является реестровая запись РРПП с указанием баллов локализации производства на территории РФ.</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На сегодняшний момент единственным подтвержденным Российским производителем систем стабилографии является «Комплекс для диагностики и реабилитации навыков баланса, осанки и движений «БАЛФИТ» по ТУ </w:t>
      </w:r>
      <w:r>
        <w:rPr>
          <w:rStyle w:val="CharStyle12"/>
          <w:i/>
          <w:iCs/>
          <w:lang w:val="en-US" w:eastAsia="en-US"/>
        </w:rPr>
        <w:t>26.60.12-006</w:t>
        <w:softHyphen/>
        <w:t xml:space="preserve">63704475-2021 </w:t>
      </w:r>
      <w:r>
        <w:rPr>
          <w:rStyle w:val="CharStyle12"/>
          <w:i/>
          <w:iCs/>
        </w:rPr>
        <w:t xml:space="preserve">с принадлежностями вариант исполнения </w:t>
      </w:r>
      <w:r>
        <w:rPr>
          <w:rStyle w:val="CharStyle12"/>
          <w:i/>
          <w:iCs/>
          <w:lang w:val="en-US" w:eastAsia="en-US"/>
        </w:rPr>
        <w:t xml:space="preserve">2» </w:t>
      </w:r>
      <w:r>
        <w:rPr>
          <w:rStyle w:val="CharStyle12"/>
          <w:i/>
          <w:iCs/>
        </w:rPr>
        <w:t xml:space="preserve">с реестровой записью </w:t>
      </w:r>
      <w:r>
        <w:rPr>
          <w:rStyle w:val="CharStyle12"/>
          <w:i/>
          <w:iCs/>
          <w:lang w:val="en-US" w:eastAsia="en-US"/>
        </w:rPr>
        <w:t xml:space="preserve">10676738 </w:t>
      </w:r>
      <w:r>
        <w:rPr>
          <w:rStyle w:val="CharStyle12"/>
          <w:i/>
          <w:iCs/>
        </w:rPr>
        <w:t xml:space="preserve">баллы локализации </w:t>
      </w:r>
      <w:r>
        <w:rPr>
          <w:rStyle w:val="CharStyle12"/>
          <w:i/>
          <w:iCs/>
          <w:lang w:val="en-US" w:eastAsia="en-US"/>
        </w:rPr>
        <w:t xml:space="preserve">104 </w:t>
      </w:r>
      <w:r>
        <w:rPr>
          <w:rStyle w:val="CharStyle12"/>
          <w:i/>
          <w:iCs/>
        </w:rPr>
        <w:t>завода-производителя медицинской техники ООО «НЕВРОКОР»</w:t>
      </w:r>
    </w:p>
    <w:p>
      <w:pPr>
        <w:pStyle w:val="Style11"/>
        <w:keepNext w:val="0"/>
        <w:keepLines w:val="0"/>
        <w:widowControl w:val="0"/>
        <w:shd w:val="clear" w:color="auto" w:fill="auto"/>
        <w:bidi w:val="0"/>
        <w:spacing w:before="0" w:after="0"/>
        <w:ind w:left="0" w:right="0" w:firstLine="740"/>
        <w:jc w:val="both"/>
      </w:pPr>
      <w:r>
        <w:rPr>
          <w:rStyle w:val="CharStyle12"/>
          <w:i/>
          <w:iCs/>
        </w:rPr>
        <w:t>Просим пересмотреть результаты проведения ЭА0174500001126002036</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Согласно возражениям Заказчика:</w:t>
      </w:r>
    </w:p>
    <w:p>
      <w:pPr>
        <w:pStyle w:val="Style11"/>
        <w:keepNext w:val="0"/>
        <w:keepLines w:val="0"/>
        <w:widowControl w:val="0"/>
        <w:shd w:val="clear" w:color="auto" w:fill="auto"/>
        <w:bidi w:val="0"/>
        <w:spacing w:before="0" w:after="0"/>
        <w:ind w:left="0" w:right="0" w:firstLine="760"/>
        <w:jc w:val="both"/>
      </w:pPr>
      <w:r>
        <w:rPr>
          <w:rStyle w:val="CharStyle12"/>
        </w:rPr>
        <w:t>«</w:t>
      </w:r>
      <w:r>
        <w:rPr>
          <w:rStyle w:val="CharStyle12"/>
          <w:i/>
          <w:iCs/>
        </w:rPr>
        <w:t xml:space="preserve">По результатам рассмотрения уведомления от </w:t>
      </w:r>
      <w:r>
        <w:rPr>
          <w:rStyle w:val="CharStyle12"/>
          <w:i/>
          <w:iCs/>
          <w:lang w:val="en-US" w:eastAsia="en-US"/>
        </w:rPr>
        <w:t xml:space="preserve">28.04.2026 </w:t>
      </w:r>
      <w:r>
        <w:rPr>
          <w:rStyle w:val="CharStyle12"/>
          <w:i/>
          <w:iCs/>
        </w:rPr>
        <w:t xml:space="preserve">о принятии жалобы к рассмотрению по делу </w:t>
      </w:r>
      <w:r>
        <w:rPr>
          <w:rStyle w:val="CharStyle12"/>
          <w:i/>
          <w:iCs/>
          <w:lang w:val="en-US" w:eastAsia="en-US"/>
        </w:rPr>
        <w:t xml:space="preserve">№ 082/06/105-823/2026 </w:t>
      </w:r>
      <w:r>
        <w:rPr>
          <w:rStyle w:val="CharStyle12"/>
          <w:i/>
          <w:iCs/>
        </w:rPr>
        <w:t xml:space="preserve">Государственное казенное учреждение Севастополя «Медицинский склад </w:t>
      </w:r>
      <w:r>
        <w:rPr>
          <w:rStyle w:val="CharStyle12"/>
          <w:i/>
          <w:iCs/>
          <w:lang w:val="en-US" w:eastAsia="en-US"/>
        </w:rPr>
        <w:t xml:space="preserve">№ 1043» </w:t>
      </w:r>
      <w:r>
        <w:rPr>
          <w:rStyle w:val="CharStyle12"/>
          <w:i/>
          <w:iCs/>
        </w:rPr>
        <w:t>(далее -Учреждение, Заказчик) сообщает следующее.</w:t>
      </w:r>
    </w:p>
    <w:p>
      <w:pPr>
        <w:pStyle w:val="Style11"/>
        <w:keepNext w:val="0"/>
        <w:keepLines w:val="0"/>
        <w:widowControl w:val="0"/>
        <w:shd w:val="clear" w:color="auto" w:fill="auto"/>
        <w:bidi w:val="0"/>
        <w:spacing w:before="0" w:after="0"/>
        <w:ind w:left="0" w:right="0" w:firstLine="760"/>
        <w:jc w:val="both"/>
      </w:pPr>
      <w:r>
        <w:rPr>
          <w:rStyle w:val="CharStyle12"/>
          <w:i/>
          <w:iCs/>
          <w:lang w:val="en-US" w:eastAsia="en-US"/>
        </w:rPr>
        <w:t xml:space="preserve">10.04.2026 </w:t>
      </w:r>
      <w:r>
        <w:rPr>
          <w:rStyle w:val="CharStyle12"/>
          <w:i/>
          <w:iCs/>
        </w:rPr>
        <w:t xml:space="preserve">Учреждением в Единой информационной системе в сфере закупок опубликовано извещение о проведении электронного аукциона </w:t>
      </w:r>
      <w:r>
        <w:rPr>
          <w:rStyle w:val="CharStyle12"/>
          <w:i/>
          <w:iCs/>
          <w:lang w:val="en-US" w:eastAsia="en-US"/>
        </w:rPr>
        <w:t xml:space="preserve">№ 0174500001126002036 </w:t>
      </w:r>
      <w:r>
        <w:rPr>
          <w:rStyle w:val="CharStyle12"/>
          <w:i/>
          <w:iCs/>
        </w:rPr>
        <w:t>«на поставку системы стабилографии».</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На участие в данной закупке была подано </w:t>
      </w:r>
      <w:r>
        <w:rPr>
          <w:rStyle w:val="CharStyle12"/>
          <w:i/>
          <w:iCs/>
          <w:lang w:val="en-US" w:eastAsia="en-US"/>
        </w:rPr>
        <w:t xml:space="preserve">3 </w:t>
      </w:r>
      <w:r>
        <w:rPr>
          <w:rStyle w:val="CharStyle12"/>
          <w:i/>
          <w:iCs/>
        </w:rPr>
        <w:t xml:space="preserve">заявки. Было снижение по торгам </w:t>
      </w:r>
      <w:r>
        <w:rPr>
          <w:rStyle w:val="CharStyle12"/>
          <w:i/>
          <w:iCs/>
          <w:lang w:val="en-US" w:eastAsia="en-US"/>
        </w:rPr>
        <w:t xml:space="preserve">1,0%. </w:t>
      </w:r>
      <w:r>
        <w:rPr>
          <w:rStyle w:val="CharStyle12"/>
          <w:i/>
          <w:iCs/>
        </w:rPr>
        <w:t>Две заявки допущены.</w:t>
      </w:r>
    </w:p>
    <w:p>
      <w:pPr>
        <w:pStyle w:val="Style11"/>
        <w:keepNext w:val="0"/>
        <w:keepLines w:val="0"/>
        <w:widowControl w:val="0"/>
        <w:shd w:val="clear" w:color="auto" w:fill="auto"/>
        <w:bidi w:val="0"/>
        <w:spacing w:before="0" w:after="0"/>
        <w:ind w:left="0" w:right="0" w:firstLine="760"/>
        <w:jc w:val="both"/>
      </w:pPr>
      <w:r>
        <w:rPr>
          <w:rStyle w:val="CharStyle12"/>
          <w:i/>
          <w:iCs/>
        </w:rPr>
        <w:t>С доводами жалобы заказчик не согласен по следующим основаниям.</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В соответствии с подпунктом «а» пункта </w:t>
      </w:r>
      <w:r>
        <w:rPr>
          <w:rStyle w:val="CharStyle12"/>
          <w:i/>
          <w:iCs/>
          <w:lang w:val="en-US" w:eastAsia="en-US"/>
        </w:rPr>
        <w:t xml:space="preserve">1 </w:t>
      </w:r>
      <w:r>
        <w:rPr>
          <w:rStyle w:val="CharStyle12"/>
          <w:i/>
          <w:iCs/>
        </w:rPr>
        <w:t xml:space="preserve">части </w:t>
      </w:r>
      <w:r>
        <w:rPr>
          <w:rStyle w:val="CharStyle12"/>
          <w:i/>
          <w:iCs/>
          <w:lang w:val="en-US" w:eastAsia="en-US"/>
        </w:rPr>
        <w:t xml:space="preserve">5 </w:t>
      </w:r>
      <w:r>
        <w:rPr>
          <w:rStyle w:val="CharStyle12"/>
          <w:i/>
          <w:iCs/>
        </w:rPr>
        <w:t xml:space="preserve">статьи </w:t>
      </w:r>
      <w:r>
        <w:rPr>
          <w:rStyle w:val="CharStyle12"/>
          <w:i/>
          <w:iCs/>
          <w:lang w:val="en-US" w:eastAsia="en-US"/>
        </w:rPr>
        <w:t xml:space="preserve">49 </w:t>
      </w:r>
      <w:r>
        <w:rPr>
          <w:rStyle w:val="CharStyle12"/>
          <w:i/>
          <w:iCs/>
        </w:rPr>
        <w:t xml:space="preserve">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2"/>
          <w:i/>
          <w:iCs/>
          <w:lang w:val="en-US" w:eastAsia="en-US"/>
        </w:rPr>
        <w:t xml:space="preserve">- </w:t>
      </w:r>
      <w:r>
        <w:rPr>
          <w:rStyle w:val="CharStyle12"/>
          <w:i/>
          <w:iCs/>
        </w:rPr>
        <w:t xml:space="preserve">Федеральный закон)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2"/>
          <w:i/>
          <w:iCs/>
          <w:lang w:val="en-US" w:eastAsia="en-US"/>
        </w:rPr>
        <w:t xml:space="preserve">4 </w:t>
      </w:r>
      <w:r>
        <w:rPr>
          <w:rStyle w:val="CharStyle12"/>
          <w:i/>
          <w:iCs/>
        </w:rPr>
        <w:t xml:space="preserve">части </w:t>
      </w:r>
      <w:r>
        <w:rPr>
          <w:rStyle w:val="CharStyle12"/>
          <w:i/>
          <w:iCs/>
          <w:lang w:val="en-US" w:eastAsia="en-US"/>
        </w:rPr>
        <w:t xml:space="preserve">4 </w:t>
      </w:r>
      <w:r>
        <w:rPr>
          <w:rStyle w:val="CharStyle12"/>
          <w:i/>
          <w:iCs/>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2"/>
          <w:i/>
          <w:iCs/>
          <w:lang w:val="en-US" w:eastAsia="en-US"/>
        </w:rPr>
        <w:t xml:space="preserve">1-8 </w:t>
      </w:r>
      <w:r>
        <w:rPr>
          <w:rStyle w:val="CharStyle12"/>
          <w:i/>
          <w:iCs/>
        </w:rPr>
        <w:t xml:space="preserve">части </w:t>
      </w:r>
      <w:r>
        <w:rPr>
          <w:rStyle w:val="CharStyle12"/>
          <w:i/>
          <w:iCs/>
          <w:lang w:val="en-US" w:eastAsia="en-US"/>
        </w:rPr>
        <w:t xml:space="preserve">12 </w:t>
      </w:r>
      <w:r>
        <w:rPr>
          <w:rStyle w:val="CharStyle12"/>
          <w:i/>
          <w:iCs/>
        </w:rPr>
        <w:t xml:space="preserve">статьи </w:t>
      </w:r>
      <w:r>
        <w:rPr>
          <w:rStyle w:val="CharStyle12"/>
          <w:i/>
          <w:iCs/>
          <w:lang w:val="en-US" w:eastAsia="en-US"/>
        </w:rPr>
        <w:t xml:space="preserve">48 </w:t>
      </w:r>
      <w:r>
        <w:rPr>
          <w:rStyle w:val="CharStyle12"/>
          <w:i/>
          <w:iCs/>
        </w:rPr>
        <w:t>настоящего Федерального закона.</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Пунктом </w:t>
      </w:r>
      <w:r>
        <w:rPr>
          <w:rStyle w:val="CharStyle12"/>
          <w:i/>
          <w:iCs/>
          <w:lang w:val="en-US" w:eastAsia="en-US"/>
        </w:rPr>
        <w:t xml:space="preserve">8 </w:t>
      </w:r>
      <w:r>
        <w:rPr>
          <w:rStyle w:val="CharStyle12"/>
          <w:i/>
          <w:iCs/>
        </w:rPr>
        <w:t xml:space="preserve">части </w:t>
      </w:r>
      <w:r>
        <w:rPr>
          <w:rStyle w:val="CharStyle12"/>
          <w:i/>
          <w:iCs/>
          <w:lang w:val="en-US" w:eastAsia="en-US"/>
        </w:rPr>
        <w:t xml:space="preserve">12 </w:t>
      </w:r>
      <w:r>
        <w:rPr>
          <w:rStyle w:val="CharStyle12"/>
          <w:i/>
          <w:iCs/>
        </w:rPr>
        <w:t xml:space="preserve">статьи </w:t>
      </w:r>
      <w:r>
        <w:rPr>
          <w:rStyle w:val="CharStyle12"/>
          <w:i/>
          <w:iCs/>
          <w:lang w:val="en-US" w:eastAsia="en-US"/>
        </w:rPr>
        <w:t xml:space="preserve">48 </w:t>
      </w:r>
      <w:r>
        <w:rPr>
          <w:rStyle w:val="CharStyle12"/>
          <w:i/>
          <w:iCs/>
        </w:rPr>
        <w:t>Федерального закона предусмотрено, что заявка подлежит отклонению в случае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ООО «Ника» в составе заявки указан номер реестровой записи из реестра российской промышленной продукции </w:t>
      </w:r>
      <w:r>
        <w:rPr>
          <w:rStyle w:val="CharStyle12"/>
          <w:i/>
          <w:iCs/>
          <w:lang w:val="en-US" w:eastAsia="en-US"/>
        </w:rPr>
        <w:t>- 10636738.</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Согласно выписке из реестра российской промышленной продукции реестровая запись с номером </w:t>
      </w:r>
      <w:r>
        <w:rPr>
          <w:rStyle w:val="CharStyle12"/>
          <w:i/>
          <w:iCs/>
          <w:lang w:val="en-US" w:eastAsia="en-US"/>
        </w:rPr>
        <w:t xml:space="preserve">10636738 </w:t>
      </w:r>
      <w:r>
        <w:rPr>
          <w:rStyle w:val="CharStyle12"/>
          <w:i/>
          <w:iCs/>
        </w:rPr>
        <w:t xml:space="preserve">содержит наименование продукции: «Комплекс для диагностики и реабилитации навыков баланса, осанки и движений «БАЛФИТ» по ТУ </w:t>
      </w:r>
      <w:r>
        <w:rPr>
          <w:rStyle w:val="CharStyle12"/>
          <w:i/>
          <w:iCs/>
          <w:lang w:val="en-US" w:eastAsia="en-US"/>
        </w:rPr>
        <w:t xml:space="preserve">26.60.12-006- 63704475-2021, </w:t>
      </w:r>
      <w:r>
        <w:rPr>
          <w:rStyle w:val="CharStyle12"/>
          <w:i/>
          <w:iCs/>
        </w:rPr>
        <w:t xml:space="preserve">исполнение </w:t>
      </w:r>
      <w:r>
        <w:rPr>
          <w:rStyle w:val="CharStyle12"/>
          <w:i/>
          <w:iCs/>
          <w:lang w:val="en-US" w:eastAsia="en-US"/>
        </w:rPr>
        <w:t>2».</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В составе заявки также указан номер регистрационного удостоверения на медицинское изделие РЗН </w:t>
      </w:r>
      <w:r>
        <w:rPr>
          <w:rStyle w:val="CharStyle12"/>
          <w:i/>
          <w:iCs/>
          <w:lang w:val="en-US" w:eastAsia="en-US"/>
        </w:rPr>
        <w:t xml:space="preserve">2022/18688 </w:t>
      </w:r>
      <w:r>
        <w:rPr>
          <w:rStyle w:val="CharStyle12"/>
          <w:i/>
          <w:iCs/>
        </w:rPr>
        <w:t xml:space="preserve">и предоставлена выписка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2"/>
          <w:i/>
          <w:iCs/>
          <w:lang w:val="en-US" w:eastAsia="en-US"/>
        </w:rPr>
        <w:t xml:space="preserve">- </w:t>
      </w:r>
      <w:r>
        <w:rPr>
          <w:rStyle w:val="CharStyle12"/>
          <w:i/>
          <w:iCs/>
        </w:rPr>
        <w:t>реестр медицинских изделий).</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Согласно выписке из реестра медицинских изделий под регистрационным номером РЗН </w:t>
      </w:r>
      <w:r>
        <w:rPr>
          <w:rStyle w:val="CharStyle12"/>
          <w:i/>
          <w:iCs/>
          <w:lang w:val="en-US" w:eastAsia="en-US"/>
        </w:rPr>
        <w:t xml:space="preserve">2022/18688 </w:t>
      </w:r>
      <w:r>
        <w:rPr>
          <w:rStyle w:val="CharStyle12"/>
          <w:i/>
          <w:iCs/>
        </w:rPr>
        <w:t xml:space="preserve">зарегистрирован Комплекс для диагностики и реабилитации навыков баланса, осанки и движений «БАЛФИТ» по ТУ </w:t>
      </w:r>
      <w:r>
        <w:rPr>
          <w:rStyle w:val="CharStyle12"/>
          <w:i/>
          <w:iCs/>
          <w:lang w:val="en-US" w:eastAsia="en-US"/>
        </w:rPr>
        <w:t>26.60.12-006</w:t>
        <w:softHyphen/>
        <w:t xml:space="preserve">63704475-2021 </w:t>
      </w:r>
      <w:r>
        <w:rPr>
          <w:rStyle w:val="CharStyle12"/>
          <w:i/>
          <w:iCs/>
        </w:rPr>
        <w:t>с принадлежностями в трех вариантах исполнения, в том числе:</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Комплекс для диагностики и реабилитации навыков баланса, осанки и движений «БАЛФИТ» по ТУ </w:t>
      </w:r>
      <w:r>
        <w:rPr>
          <w:rStyle w:val="CharStyle12"/>
          <w:i/>
          <w:iCs/>
          <w:lang w:val="en-US" w:eastAsia="en-US"/>
        </w:rPr>
        <w:t xml:space="preserve">26.60.12-006- 63704475-2021, </w:t>
      </w:r>
      <w:r>
        <w:rPr>
          <w:rStyle w:val="CharStyle12"/>
          <w:i/>
          <w:iCs/>
        </w:rPr>
        <w:t xml:space="preserve">исполнение </w:t>
      </w:r>
      <w:r>
        <w:rPr>
          <w:rStyle w:val="CharStyle12"/>
          <w:i/>
          <w:iCs/>
          <w:lang w:val="en-US" w:eastAsia="en-US"/>
        </w:rPr>
        <w:t xml:space="preserve">2, </w:t>
      </w:r>
      <w:r>
        <w:rPr>
          <w:rStyle w:val="CharStyle12"/>
          <w:i/>
          <w:iCs/>
        </w:rPr>
        <w:t>в составе:</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Стабилоплатформа (модель </w:t>
      </w:r>
      <w:r>
        <w:rPr>
          <w:rStyle w:val="CharStyle12"/>
          <w:i/>
          <w:iCs/>
          <w:lang w:val="en-US" w:eastAsia="en-US"/>
        </w:rPr>
        <w:t xml:space="preserve">2) - 1 </w:t>
      </w:r>
      <w:r>
        <w:rPr>
          <w:rStyle w:val="CharStyle12"/>
          <w:i/>
          <w:iCs/>
        </w:rPr>
        <w:t>шт.</w:t>
      </w:r>
    </w:p>
    <w:p>
      <w:pPr>
        <w:pStyle w:val="Style11"/>
        <w:keepNext w:val="0"/>
        <w:keepLines w:val="0"/>
        <w:widowControl w:val="0"/>
        <w:numPr>
          <w:ilvl w:val="1"/>
          <w:numId w:val="1"/>
        </w:numPr>
        <w:shd w:val="clear" w:color="auto" w:fill="auto"/>
        <w:tabs>
          <w:tab w:pos="1408" w:val="left"/>
        </w:tabs>
        <w:bidi w:val="0"/>
        <w:spacing w:before="0" w:after="0"/>
        <w:ind w:left="0" w:right="0" w:firstLine="760"/>
        <w:jc w:val="both"/>
      </w:pPr>
      <w:r>
        <w:rPr>
          <w:rStyle w:val="CharStyle12"/>
          <w:i/>
          <w:iCs/>
        </w:rPr>
        <w:t xml:space="preserve">Блок управления и анализа информации </w:t>
      </w:r>
      <w:r>
        <w:rPr>
          <w:rStyle w:val="CharStyle12"/>
          <w:i/>
          <w:iCs/>
          <w:lang w:val="en-US" w:eastAsia="en-US"/>
        </w:rPr>
        <w:t xml:space="preserve">- 1 </w:t>
      </w:r>
      <w:r>
        <w:rPr>
          <w:rStyle w:val="CharStyle12"/>
          <w:i/>
          <w:iCs/>
        </w:rPr>
        <w:t xml:space="preserve">шт. (при необходимости), в составе: </w:t>
      </w:r>
      <w:r>
        <w:rPr>
          <w:rStyle w:val="CharStyle12"/>
          <w:i/>
          <w:iCs/>
          <w:lang w:val="en-US" w:eastAsia="en-US"/>
        </w:rPr>
        <w:t xml:space="preserve">- </w:t>
      </w:r>
      <w:r>
        <w:rPr>
          <w:rStyle w:val="CharStyle12"/>
          <w:i/>
          <w:iCs/>
        </w:rPr>
        <w:t xml:space="preserve">ПК; </w:t>
      </w:r>
      <w:r>
        <w:rPr>
          <w:rStyle w:val="CharStyle12"/>
          <w:i/>
          <w:iCs/>
          <w:lang w:val="en-US" w:eastAsia="en-US"/>
        </w:rPr>
        <w:t xml:space="preserve">- </w:t>
      </w:r>
      <w:r>
        <w:rPr>
          <w:rStyle w:val="CharStyle12"/>
          <w:i/>
          <w:iCs/>
        </w:rPr>
        <w:t>адаптер.</w:t>
      </w:r>
    </w:p>
    <w:p>
      <w:pPr>
        <w:pStyle w:val="Style11"/>
        <w:keepNext w:val="0"/>
        <w:keepLines w:val="0"/>
        <w:widowControl w:val="0"/>
        <w:numPr>
          <w:ilvl w:val="1"/>
          <w:numId w:val="1"/>
        </w:numPr>
        <w:shd w:val="clear" w:color="auto" w:fill="auto"/>
        <w:tabs>
          <w:tab w:pos="1408" w:val="left"/>
        </w:tabs>
        <w:bidi w:val="0"/>
        <w:spacing w:before="0" w:after="0"/>
        <w:ind w:left="0" w:right="0" w:firstLine="760"/>
        <w:jc w:val="both"/>
      </w:pPr>
      <w:r>
        <w:rPr>
          <w:rStyle w:val="CharStyle12"/>
          <w:i/>
          <w:iCs/>
        </w:rPr>
        <w:t xml:space="preserve">Датчик биомеханический носимый </w:t>
      </w:r>
      <w:r>
        <w:rPr>
          <w:rStyle w:val="CharStyle12"/>
          <w:i/>
          <w:iCs/>
          <w:lang w:val="en-US" w:eastAsia="en-US"/>
        </w:rPr>
        <w:t xml:space="preserve">- </w:t>
      </w:r>
      <w:r>
        <w:rPr>
          <w:rStyle w:val="CharStyle12"/>
          <w:i/>
          <w:iCs/>
        </w:rPr>
        <w:t xml:space="preserve">не более </w:t>
      </w:r>
      <w:r>
        <w:rPr>
          <w:rStyle w:val="CharStyle12"/>
          <w:i/>
          <w:iCs/>
          <w:lang w:val="en-US" w:eastAsia="en-US"/>
        </w:rPr>
        <w:t xml:space="preserve">16 </w:t>
      </w:r>
      <w:r>
        <w:rPr>
          <w:rStyle w:val="CharStyle12"/>
          <w:i/>
          <w:iCs/>
        </w:rPr>
        <w:t>шт. (при необходимости).</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Система поддержки </w:t>
      </w:r>
      <w:r>
        <w:rPr>
          <w:rStyle w:val="CharStyle12"/>
          <w:i/>
          <w:iCs/>
          <w:lang w:val="en-US" w:eastAsia="en-US"/>
        </w:rPr>
        <w:t xml:space="preserve">- 1 </w:t>
      </w:r>
      <w:r>
        <w:rPr>
          <w:rStyle w:val="CharStyle12"/>
          <w:i/>
          <w:iCs/>
        </w:rPr>
        <w:t>шт. (при необходимости).</w:t>
      </w:r>
    </w:p>
    <w:p>
      <w:pPr>
        <w:pStyle w:val="Style11"/>
        <w:keepNext w:val="0"/>
        <w:keepLines w:val="0"/>
        <w:widowControl w:val="0"/>
        <w:numPr>
          <w:ilvl w:val="1"/>
          <w:numId w:val="1"/>
        </w:numPr>
        <w:shd w:val="clear" w:color="auto" w:fill="auto"/>
        <w:tabs>
          <w:tab w:pos="1408" w:val="left"/>
        </w:tabs>
        <w:bidi w:val="0"/>
        <w:spacing w:before="0" w:after="0"/>
        <w:ind w:left="0" w:right="0" w:firstLine="760"/>
        <w:jc w:val="both"/>
      </w:pPr>
      <w:r>
        <w:rPr>
          <w:rStyle w:val="CharStyle12"/>
          <w:i/>
          <w:iCs/>
        </w:rPr>
        <w:t xml:space="preserve">Модуль БОС </w:t>
      </w:r>
      <w:r>
        <w:rPr>
          <w:rStyle w:val="CharStyle12"/>
          <w:i/>
          <w:iCs/>
          <w:lang w:val="en-US" w:eastAsia="en-US"/>
        </w:rPr>
        <w:t xml:space="preserve">- 1 </w:t>
      </w:r>
      <w:r>
        <w:rPr>
          <w:rStyle w:val="CharStyle12"/>
          <w:i/>
          <w:iCs/>
        </w:rPr>
        <w:t xml:space="preserve">шт. (при необходимости): </w:t>
      </w:r>
      <w:r>
        <w:rPr>
          <w:rStyle w:val="CharStyle12"/>
          <w:i/>
          <w:iCs/>
          <w:lang w:val="en-US" w:eastAsia="en-US"/>
        </w:rPr>
        <w:t xml:space="preserve">- </w:t>
      </w:r>
      <w:r>
        <w:rPr>
          <w:rStyle w:val="CharStyle12"/>
          <w:i/>
          <w:iCs/>
        </w:rPr>
        <w:t xml:space="preserve">стойка </w:t>
      </w:r>
      <w:r>
        <w:rPr>
          <w:rStyle w:val="CharStyle12"/>
          <w:i/>
          <w:iCs/>
          <w:lang w:val="en-US" w:eastAsia="en-US"/>
        </w:rPr>
        <w:t xml:space="preserve">- </w:t>
      </w:r>
      <w:r>
        <w:rPr>
          <w:rStyle w:val="CharStyle12"/>
          <w:i/>
          <w:iCs/>
        </w:rPr>
        <w:t xml:space="preserve">1шт.; </w:t>
      </w:r>
      <w:r>
        <w:rPr>
          <w:rStyle w:val="CharStyle12"/>
          <w:i/>
          <w:iCs/>
          <w:lang w:val="en-US" w:eastAsia="en-US"/>
        </w:rPr>
        <w:t xml:space="preserve">- </w:t>
      </w:r>
      <w:r>
        <w:rPr>
          <w:rStyle w:val="CharStyle12"/>
          <w:i/>
          <w:iCs/>
        </w:rPr>
        <w:t xml:space="preserve">дисплей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Блок питания (модель </w:t>
      </w:r>
      <w:r>
        <w:rPr>
          <w:rStyle w:val="CharStyle12"/>
          <w:i/>
          <w:iCs/>
          <w:lang w:val="en-US" w:eastAsia="en-US"/>
        </w:rPr>
        <w:t xml:space="preserve">1) - 1 </w:t>
      </w:r>
      <w:r>
        <w:rPr>
          <w:rStyle w:val="CharStyle12"/>
          <w:i/>
          <w:iCs/>
        </w:rPr>
        <w:t>шт. (при необходимости).</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Блок питания (модель </w:t>
      </w:r>
      <w:r>
        <w:rPr>
          <w:rStyle w:val="CharStyle12"/>
          <w:i/>
          <w:iCs/>
          <w:lang w:val="en-US" w:eastAsia="en-US"/>
        </w:rPr>
        <w:t xml:space="preserve">2) - 1 </w:t>
      </w:r>
      <w:r>
        <w:rPr>
          <w:rStyle w:val="CharStyle12"/>
          <w:i/>
          <w:iCs/>
        </w:rPr>
        <w:t>шт. (при необходимости).</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Пандус с перилами (модель </w:t>
      </w:r>
      <w:r>
        <w:rPr>
          <w:rStyle w:val="CharStyle12"/>
          <w:i/>
          <w:iCs/>
          <w:lang w:val="en-US" w:eastAsia="en-US"/>
        </w:rPr>
        <w:t xml:space="preserve">1) - 1 </w:t>
      </w:r>
      <w:r>
        <w:rPr>
          <w:rStyle w:val="CharStyle12"/>
          <w:i/>
          <w:iCs/>
        </w:rPr>
        <w:t>шт. (при необходимости).</w:t>
      </w:r>
    </w:p>
    <w:p>
      <w:pPr>
        <w:pStyle w:val="Style11"/>
        <w:keepNext w:val="0"/>
        <w:keepLines w:val="0"/>
        <w:widowControl w:val="0"/>
        <w:numPr>
          <w:ilvl w:val="1"/>
          <w:numId w:val="1"/>
        </w:numPr>
        <w:shd w:val="clear" w:color="auto" w:fill="auto"/>
        <w:tabs>
          <w:tab w:pos="1470" w:val="left"/>
        </w:tabs>
        <w:bidi w:val="0"/>
        <w:spacing w:before="0" w:after="0"/>
        <w:ind w:left="0" w:right="0" w:firstLine="760"/>
        <w:jc w:val="both"/>
      </w:pPr>
      <w:r>
        <w:rPr>
          <w:rStyle w:val="CharStyle12"/>
          <w:i/>
          <w:iCs/>
        </w:rPr>
        <w:t xml:space="preserve">Пандус с перилами (модель </w:t>
      </w:r>
      <w:r>
        <w:rPr>
          <w:rStyle w:val="CharStyle12"/>
          <w:i/>
          <w:iCs/>
          <w:lang w:val="en-US" w:eastAsia="en-US"/>
        </w:rPr>
        <w:t xml:space="preserve">2) - 1 </w:t>
      </w:r>
      <w:r>
        <w:rPr>
          <w:rStyle w:val="CharStyle12"/>
          <w:i/>
          <w:iCs/>
        </w:rPr>
        <w:t>шт. (при необходимости).</w:t>
      </w:r>
    </w:p>
    <w:p>
      <w:pPr>
        <w:pStyle w:val="Style11"/>
        <w:keepNext w:val="0"/>
        <w:keepLines w:val="0"/>
        <w:widowControl w:val="0"/>
        <w:numPr>
          <w:ilvl w:val="1"/>
          <w:numId w:val="3"/>
        </w:numPr>
        <w:shd w:val="clear" w:color="auto" w:fill="auto"/>
        <w:tabs>
          <w:tab w:pos="1502" w:val="left"/>
        </w:tabs>
        <w:bidi w:val="0"/>
        <w:spacing w:before="0" w:after="0"/>
        <w:ind w:left="0" w:right="0" w:firstLine="760"/>
        <w:jc w:val="both"/>
      </w:pPr>
      <w:r>
        <w:rPr>
          <w:rStyle w:val="CharStyle12"/>
          <w:i/>
          <w:iCs/>
        </w:rPr>
        <w:t xml:space="preserve">Руководство по эксплуатации, совмещенное с паспортом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3"/>
        </w:numPr>
        <w:shd w:val="clear" w:color="auto" w:fill="auto"/>
        <w:tabs>
          <w:tab w:pos="1522" w:val="left"/>
        </w:tabs>
        <w:bidi w:val="0"/>
        <w:spacing w:before="0" w:after="0"/>
        <w:ind w:left="0" w:right="0" w:firstLine="760"/>
        <w:jc w:val="both"/>
      </w:pPr>
      <w:r>
        <w:rPr>
          <w:rStyle w:val="CharStyle12"/>
          <w:i/>
          <w:iCs/>
        </w:rPr>
        <w:t xml:space="preserve">ПО </w:t>
      </w:r>
      <w:r>
        <w:rPr>
          <w:rStyle w:val="CharStyle12"/>
          <w:i/>
          <w:iCs/>
          <w:lang w:val="en-US" w:eastAsia="en-US"/>
        </w:rPr>
        <w:t xml:space="preserve">«3D </w:t>
      </w:r>
      <w:r>
        <w:rPr>
          <w:rStyle w:val="CharStyle12"/>
          <w:i/>
          <w:iCs/>
        </w:rPr>
        <w:t xml:space="preserve">сканер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3"/>
        </w:numPr>
        <w:shd w:val="clear" w:color="auto" w:fill="auto"/>
        <w:tabs>
          <w:tab w:pos="1472" w:val="left"/>
        </w:tabs>
        <w:bidi w:val="0"/>
        <w:spacing w:before="0" w:after="0"/>
        <w:ind w:left="0" w:right="0" w:firstLine="760"/>
        <w:jc w:val="both"/>
      </w:pPr>
      <w:r>
        <w:rPr>
          <w:rStyle w:val="CharStyle12"/>
          <w:i/>
          <w:iCs/>
        </w:rPr>
        <w:t xml:space="preserve">ПО «Программа для управления базой данных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3"/>
        </w:numPr>
        <w:shd w:val="clear" w:color="auto" w:fill="auto"/>
        <w:tabs>
          <w:tab w:pos="1522" w:val="left"/>
        </w:tabs>
        <w:bidi w:val="0"/>
        <w:spacing w:before="0" w:after="0"/>
        <w:ind w:left="0" w:right="0" w:firstLine="760"/>
        <w:jc w:val="both"/>
      </w:pPr>
      <w:r>
        <w:rPr>
          <w:rStyle w:val="CharStyle12"/>
          <w:i/>
          <w:iCs/>
        </w:rPr>
        <w:t xml:space="preserve">ПО «Биомеханика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3"/>
        </w:numPr>
        <w:shd w:val="clear" w:color="auto" w:fill="auto"/>
        <w:tabs>
          <w:tab w:pos="1522" w:val="left"/>
        </w:tabs>
        <w:bidi w:val="0"/>
        <w:spacing w:before="0" w:after="0"/>
        <w:ind w:left="0" w:right="0" w:firstLine="760"/>
        <w:jc w:val="both"/>
      </w:pPr>
      <w:r>
        <w:rPr>
          <w:rStyle w:val="CharStyle12"/>
          <w:i/>
          <w:iCs/>
        </w:rPr>
        <w:t xml:space="preserve">ПО «Стабилометрия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Комплекс для реабилитации навыков движений, баланса и осанки «БАЛФИТ» по ТУ </w:t>
      </w:r>
      <w:r>
        <w:rPr>
          <w:rStyle w:val="CharStyle12"/>
          <w:i/>
          <w:iCs/>
          <w:lang w:val="en-US" w:eastAsia="en-US"/>
        </w:rPr>
        <w:t xml:space="preserve">26.60.12-006-63704475-2021, </w:t>
      </w:r>
      <w:r>
        <w:rPr>
          <w:rStyle w:val="CharStyle12"/>
          <w:i/>
          <w:iCs/>
        </w:rPr>
        <w:t xml:space="preserve">исполнение </w:t>
      </w:r>
      <w:r>
        <w:rPr>
          <w:rStyle w:val="CharStyle12"/>
          <w:i/>
          <w:iCs/>
          <w:lang w:val="en-US" w:eastAsia="en-US"/>
        </w:rPr>
        <w:t xml:space="preserve">3, </w:t>
      </w:r>
      <w:r>
        <w:rPr>
          <w:rStyle w:val="CharStyle12"/>
          <w:i/>
          <w:iCs/>
        </w:rPr>
        <w:t>в составе:</w:t>
      </w:r>
    </w:p>
    <w:p>
      <w:pPr>
        <w:pStyle w:val="Style11"/>
        <w:keepNext w:val="0"/>
        <w:keepLines w:val="0"/>
        <w:widowControl w:val="0"/>
        <w:numPr>
          <w:ilvl w:val="1"/>
          <w:numId w:val="5"/>
        </w:numPr>
        <w:shd w:val="clear" w:color="auto" w:fill="auto"/>
        <w:tabs>
          <w:tab w:pos="1470" w:val="left"/>
        </w:tabs>
        <w:bidi w:val="0"/>
        <w:spacing w:before="0" w:after="0"/>
        <w:ind w:left="0" w:right="0" w:firstLine="760"/>
        <w:jc w:val="both"/>
      </w:pPr>
      <w:r>
        <w:rPr>
          <w:rStyle w:val="CharStyle12"/>
          <w:i/>
          <w:iCs/>
        </w:rPr>
        <w:t xml:space="preserve">Балансплатформа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08" w:val="left"/>
        </w:tabs>
        <w:bidi w:val="0"/>
        <w:spacing w:before="0" w:after="0"/>
        <w:ind w:left="0" w:right="0" w:firstLine="760"/>
        <w:jc w:val="both"/>
      </w:pPr>
      <w:r>
        <w:rPr>
          <w:rStyle w:val="CharStyle12"/>
          <w:i/>
          <w:iCs/>
        </w:rPr>
        <w:t xml:space="preserve">Датчик биомеханический носимый </w:t>
      </w:r>
      <w:r>
        <w:rPr>
          <w:rStyle w:val="CharStyle12"/>
          <w:i/>
          <w:iCs/>
          <w:lang w:val="en-US" w:eastAsia="en-US"/>
        </w:rPr>
        <w:t xml:space="preserve">- </w:t>
      </w:r>
      <w:r>
        <w:rPr>
          <w:rStyle w:val="CharStyle12"/>
          <w:i/>
          <w:iCs/>
        </w:rPr>
        <w:t xml:space="preserve">не более </w:t>
      </w:r>
      <w:r>
        <w:rPr>
          <w:rStyle w:val="CharStyle12"/>
          <w:i/>
          <w:iCs/>
          <w:lang w:val="en-US" w:eastAsia="en-US"/>
        </w:rPr>
        <w:t xml:space="preserve">16 </w:t>
      </w:r>
      <w:r>
        <w:rPr>
          <w:rStyle w:val="CharStyle12"/>
          <w:i/>
          <w:iCs/>
        </w:rPr>
        <w:t>шт. (при необходимости).</w:t>
      </w:r>
    </w:p>
    <w:p>
      <w:pPr>
        <w:pStyle w:val="Style11"/>
        <w:keepNext w:val="0"/>
        <w:keepLines w:val="0"/>
        <w:widowControl w:val="0"/>
        <w:numPr>
          <w:ilvl w:val="1"/>
          <w:numId w:val="5"/>
        </w:numPr>
        <w:shd w:val="clear" w:color="auto" w:fill="auto"/>
        <w:tabs>
          <w:tab w:pos="1408" w:val="left"/>
        </w:tabs>
        <w:bidi w:val="0"/>
        <w:spacing w:before="0" w:after="0"/>
        <w:ind w:left="0" w:right="0" w:firstLine="760"/>
        <w:jc w:val="both"/>
      </w:pPr>
      <w:r>
        <w:rPr>
          <w:rStyle w:val="CharStyle12"/>
          <w:i/>
          <w:iCs/>
        </w:rPr>
        <w:t xml:space="preserve">Блок управления и анализа информации </w:t>
      </w:r>
      <w:r>
        <w:rPr>
          <w:rStyle w:val="CharStyle12"/>
          <w:i/>
          <w:iCs/>
          <w:lang w:val="en-US" w:eastAsia="en-US"/>
        </w:rPr>
        <w:t xml:space="preserve">- 1 </w:t>
      </w:r>
      <w:r>
        <w:rPr>
          <w:rStyle w:val="CharStyle12"/>
          <w:i/>
          <w:iCs/>
        </w:rPr>
        <w:t xml:space="preserve">шт. (при необходимости): </w:t>
      </w:r>
      <w:r>
        <w:rPr>
          <w:rStyle w:val="CharStyle12"/>
          <w:i/>
          <w:iCs/>
          <w:lang w:val="en-US" w:eastAsia="en-US"/>
        </w:rPr>
        <w:t xml:space="preserve">- </w:t>
      </w:r>
      <w:r>
        <w:rPr>
          <w:rStyle w:val="CharStyle12"/>
          <w:i/>
          <w:iCs/>
        </w:rPr>
        <w:t>ПК;</w:t>
      </w:r>
    </w:p>
    <w:p>
      <w:pPr>
        <w:pStyle w:val="Style11"/>
        <w:keepNext w:val="0"/>
        <w:keepLines w:val="0"/>
        <w:widowControl w:val="0"/>
        <w:shd w:val="clear" w:color="auto" w:fill="auto"/>
        <w:bidi w:val="0"/>
        <w:spacing w:before="0" w:after="0"/>
        <w:ind w:left="0" w:right="0" w:firstLine="760"/>
        <w:jc w:val="both"/>
      </w:pPr>
      <w:r>
        <w:rPr>
          <w:rStyle w:val="CharStyle12"/>
          <w:i/>
          <w:iCs/>
          <w:lang w:val="en-US" w:eastAsia="en-US"/>
        </w:rPr>
        <w:t xml:space="preserve">- </w:t>
      </w:r>
      <w:r>
        <w:rPr>
          <w:rStyle w:val="CharStyle12"/>
          <w:i/>
          <w:iCs/>
        </w:rPr>
        <w:t>адаптер.</w:t>
      </w:r>
    </w:p>
    <w:p>
      <w:pPr>
        <w:pStyle w:val="Style11"/>
        <w:keepNext w:val="0"/>
        <w:keepLines w:val="0"/>
        <w:widowControl w:val="0"/>
        <w:numPr>
          <w:ilvl w:val="1"/>
          <w:numId w:val="5"/>
        </w:numPr>
        <w:shd w:val="clear" w:color="auto" w:fill="auto"/>
        <w:tabs>
          <w:tab w:pos="1408" w:val="left"/>
        </w:tabs>
        <w:bidi w:val="0"/>
        <w:spacing w:before="0" w:after="0"/>
        <w:ind w:left="0" w:right="0" w:firstLine="760"/>
        <w:jc w:val="both"/>
      </w:pPr>
      <w:r>
        <w:rPr>
          <w:rStyle w:val="CharStyle12"/>
          <w:i/>
          <w:iCs/>
        </w:rPr>
        <w:t xml:space="preserve">Модуль БОС (при необходимости), в составе: </w:t>
      </w:r>
      <w:r>
        <w:rPr>
          <w:rStyle w:val="CharStyle12"/>
          <w:i/>
          <w:iCs/>
          <w:lang w:val="en-US" w:eastAsia="en-US"/>
        </w:rPr>
        <w:t xml:space="preserve">- </w:t>
      </w:r>
      <w:r>
        <w:rPr>
          <w:rStyle w:val="CharStyle12"/>
          <w:i/>
          <w:iCs/>
        </w:rPr>
        <w:t xml:space="preserve">стойка </w:t>
      </w:r>
      <w:r>
        <w:rPr>
          <w:rStyle w:val="CharStyle12"/>
          <w:i/>
          <w:iCs/>
          <w:lang w:val="en-US" w:eastAsia="en-US"/>
        </w:rPr>
        <w:t xml:space="preserve">- 1 </w:t>
      </w:r>
      <w:r>
        <w:rPr>
          <w:rStyle w:val="CharStyle12"/>
          <w:i/>
          <w:iCs/>
        </w:rPr>
        <w:t xml:space="preserve">шт.; </w:t>
      </w:r>
      <w:r>
        <w:rPr>
          <w:rStyle w:val="CharStyle12"/>
          <w:i/>
          <w:iCs/>
          <w:lang w:val="en-US" w:eastAsia="en-US"/>
        </w:rPr>
        <w:t xml:space="preserve">- </w:t>
      </w:r>
      <w:r>
        <w:rPr>
          <w:rStyle w:val="CharStyle12"/>
          <w:i/>
          <w:iCs/>
        </w:rPr>
        <w:t xml:space="preserve">дисплей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70" w:val="left"/>
        </w:tabs>
        <w:bidi w:val="0"/>
        <w:spacing w:before="0" w:after="0"/>
        <w:ind w:left="0" w:right="0" w:firstLine="760"/>
        <w:jc w:val="both"/>
      </w:pPr>
      <w:r>
        <w:rPr>
          <w:rStyle w:val="CharStyle12"/>
          <w:i/>
          <w:iCs/>
        </w:rPr>
        <w:t xml:space="preserve">Блок питания (модель </w:t>
      </w:r>
      <w:r>
        <w:rPr>
          <w:rStyle w:val="CharStyle12"/>
          <w:i/>
          <w:iCs/>
          <w:lang w:val="en-US" w:eastAsia="en-US"/>
        </w:rPr>
        <w:t xml:space="preserve">1) - 1 </w:t>
      </w:r>
      <w:r>
        <w:rPr>
          <w:rStyle w:val="CharStyle12"/>
          <w:i/>
          <w:iCs/>
        </w:rPr>
        <w:t>шт. (при необходимости).</w:t>
      </w:r>
    </w:p>
    <w:p>
      <w:pPr>
        <w:pStyle w:val="Style11"/>
        <w:keepNext w:val="0"/>
        <w:keepLines w:val="0"/>
        <w:widowControl w:val="0"/>
        <w:numPr>
          <w:ilvl w:val="1"/>
          <w:numId w:val="5"/>
        </w:numPr>
        <w:shd w:val="clear" w:color="auto" w:fill="auto"/>
        <w:tabs>
          <w:tab w:pos="1470" w:val="left"/>
        </w:tabs>
        <w:bidi w:val="0"/>
        <w:spacing w:before="0" w:after="0"/>
        <w:ind w:left="0" w:right="0" w:firstLine="760"/>
        <w:jc w:val="both"/>
      </w:pPr>
      <w:r>
        <w:rPr>
          <w:rStyle w:val="CharStyle12"/>
          <w:i/>
          <w:iCs/>
        </w:rPr>
        <w:t xml:space="preserve">Блок питания (модель </w:t>
      </w:r>
      <w:r>
        <w:rPr>
          <w:rStyle w:val="CharStyle12"/>
          <w:i/>
          <w:iCs/>
          <w:lang w:val="en-US" w:eastAsia="en-US"/>
        </w:rPr>
        <w:t xml:space="preserve">2) - 1 </w:t>
      </w:r>
      <w:r>
        <w:rPr>
          <w:rStyle w:val="CharStyle12"/>
          <w:i/>
          <w:iCs/>
        </w:rPr>
        <w:t>шт. (при необходимости).</w:t>
      </w:r>
    </w:p>
    <w:p>
      <w:pPr>
        <w:pStyle w:val="Style11"/>
        <w:keepNext w:val="0"/>
        <w:keepLines w:val="0"/>
        <w:widowControl w:val="0"/>
        <w:numPr>
          <w:ilvl w:val="1"/>
          <w:numId w:val="5"/>
        </w:numPr>
        <w:shd w:val="clear" w:color="auto" w:fill="auto"/>
        <w:tabs>
          <w:tab w:pos="1470" w:val="left"/>
        </w:tabs>
        <w:bidi w:val="0"/>
        <w:spacing w:before="0" w:after="0"/>
        <w:ind w:left="0" w:right="0" w:firstLine="760"/>
        <w:jc w:val="both"/>
      </w:pPr>
      <w:r>
        <w:rPr>
          <w:rStyle w:val="CharStyle12"/>
          <w:i/>
          <w:iCs/>
        </w:rPr>
        <w:t xml:space="preserve">Руководство по эксплуатации, совмещенное с паспортом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12" w:val="left"/>
        </w:tabs>
        <w:bidi w:val="0"/>
        <w:spacing w:before="0" w:after="0"/>
        <w:ind w:left="0" w:right="0" w:firstLine="740"/>
        <w:jc w:val="both"/>
      </w:pPr>
      <w:r>
        <w:rPr>
          <w:rStyle w:val="CharStyle12"/>
          <w:i/>
          <w:iCs/>
        </w:rPr>
        <w:t xml:space="preserve">ПО </w:t>
      </w:r>
      <w:r>
        <w:rPr>
          <w:rStyle w:val="CharStyle12"/>
          <w:i/>
          <w:iCs/>
          <w:lang w:val="en-US" w:eastAsia="en-US"/>
        </w:rPr>
        <w:t xml:space="preserve">«3D </w:t>
      </w:r>
      <w:r>
        <w:rPr>
          <w:rStyle w:val="CharStyle12"/>
          <w:i/>
          <w:iCs/>
        </w:rPr>
        <w:t xml:space="preserve">сканер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11" w:val="left"/>
        </w:tabs>
        <w:bidi w:val="0"/>
        <w:spacing w:before="0" w:after="0"/>
        <w:ind w:left="0" w:right="0" w:firstLine="740"/>
        <w:jc w:val="both"/>
      </w:pPr>
      <w:r>
        <w:rPr>
          <w:rStyle w:val="CharStyle12"/>
          <w:i/>
          <w:iCs/>
        </w:rPr>
        <w:t xml:space="preserve">ПО «Программа для управления базой данных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12" w:val="left"/>
        </w:tabs>
        <w:bidi w:val="0"/>
        <w:spacing w:before="0" w:after="0"/>
        <w:ind w:left="0" w:right="0" w:firstLine="740"/>
        <w:jc w:val="both"/>
      </w:pPr>
      <w:r>
        <w:rPr>
          <w:rStyle w:val="CharStyle12"/>
          <w:i/>
          <w:iCs/>
        </w:rPr>
        <w:t xml:space="preserve">ПО «Биомеханика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numPr>
          <w:ilvl w:val="1"/>
          <w:numId w:val="5"/>
        </w:numPr>
        <w:shd w:val="clear" w:color="auto" w:fill="auto"/>
        <w:tabs>
          <w:tab w:pos="1459" w:val="left"/>
        </w:tabs>
        <w:bidi w:val="0"/>
        <w:spacing w:before="0" w:after="0"/>
        <w:ind w:left="0" w:right="0" w:firstLine="740"/>
        <w:jc w:val="both"/>
      </w:pPr>
      <w:r>
        <w:rPr>
          <w:rStyle w:val="CharStyle12"/>
          <w:i/>
          <w:iCs/>
        </w:rPr>
        <w:t xml:space="preserve">ПО «Стабилометрия Неврокор» на электронном носителе </w:t>
      </w:r>
      <w:r>
        <w:rPr>
          <w:rStyle w:val="CharStyle12"/>
          <w:i/>
          <w:iCs/>
          <w:lang w:val="en-US" w:eastAsia="en-US"/>
        </w:rPr>
        <w:t xml:space="preserve">- 1 </w:t>
      </w:r>
      <w:r>
        <w:rPr>
          <w:rStyle w:val="CharStyle12"/>
          <w:i/>
          <w:iCs/>
        </w:rPr>
        <w:t>шт.</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Таким образом, исполнение </w:t>
      </w:r>
      <w:r>
        <w:rPr>
          <w:rStyle w:val="CharStyle12"/>
          <w:i/>
          <w:iCs/>
          <w:lang w:val="en-US" w:eastAsia="en-US"/>
        </w:rPr>
        <w:t xml:space="preserve">2 </w:t>
      </w:r>
      <w:r>
        <w:rPr>
          <w:rStyle w:val="CharStyle12"/>
          <w:i/>
          <w:iCs/>
        </w:rPr>
        <w:t xml:space="preserve">имеет в составе стабилоплатформу (модель </w:t>
      </w:r>
      <w:r>
        <w:rPr>
          <w:rStyle w:val="CharStyle12"/>
          <w:i/>
          <w:iCs/>
          <w:lang w:val="en-US" w:eastAsia="en-US"/>
        </w:rPr>
        <w:t xml:space="preserve">2), </w:t>
      </w:r>
      <w:r>
        <w:rPr>
          <w:rStyle w:val="CharStyle12"/>
          <w:i/>
          <w:iCs/>
        </w:rPr>
        <w:t xml:space="preserve">а исполнение </w:t>
      </w:r>
      <w:r>
        <w:rPr>
          <w:rStyle w:val="CharStyle12"/>
          <w:i/>
          <w:iCs/>
          <w:lang w:val="en-US" w:eastAsia="en-US"/>
        </w:rPr>
        <w:t xml:space="preserve">3 - </w:t>
      </w:r>
      <w:r>
        <w:rPr>
          <w:rStyle w:val="CharStyle12"/>
          <w:i/>
          <w:iCs/>
        </w:rPr>
        <w:t>балансплатформу.</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размещенному в реестре медицинских изделий руководству по эксплуатации на Комплекс для реабилитации навыков движений, баланса и осанки «БАЛФИТ» по ТУ </w:t>
      </w:r>
      <w:r>
        <w:rPr>
          <w:rStyle w:val="CharStyle12"/>
          <w:i/>
          <w:iCs/>
          <w:lang w:val="en-US" w:eastAsia="en-US"/>
        </w:rPr>
        <w:t>26.60.12-006-63704475-2021:</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Стабилоплатформа (модель </w:t>
      </w:r>
      <w:r>
        <w:rPr>
          <w:rStyle w:val="CharStyle12"/>
          <w:i/>
          <w:iCs/>
          <w:lang w:val="en-US" w:eastAsia="en-US"/>
        </w:rPr>
        <w:t xml:space="preserve">2) </w:t>
      </w:r>
      <w:r>
        <w:rPr>
          <w:rStyle w:val="CharStyle12"/>
          <w:i/>
          <w:iCs/>
        </w:rPr>
        <w:t xml:space="preserve">предназначена для получения информации о массе тела пациента и координатах центра его давления на опорную поверхность (стр.13 Руководства) и имеет габаритные размеры </w:t>
      </w:r>
      <w:r>
        <w:rPr>
          <w:rStyle w:val="CharStyle12"/>
          <w:i/>
          <w:iCs/>
          <w:lang w:val="en-US" w:eastAsia="en-US"/>
        </w:rPr>
        <w:t xml:space="preserve">500x500x40 </w:t>
      </w:r>
      <w:r>
        <w:rPr>
          <w:rStyle w:val="CharStyle12"/>
          <w:i/>
          <w:iCs/>
        </w:rPr>
        <w:t xml:space="preserve">мм (стр. </w:t>
      </w:r>
      <w:r>
        <w:rPr>
          <w:rStyle w:val="CharStyle12"/>
          <w:i/>
          <w:iCs/>
          <w:lang w:val="en-US" w:eastAsia="en-US"/>
        </w:rPr>
        <w:t xml:space="preserve">19 </w:t>
      </w:r>
      <w:r>
        <w:rPr>
          <w:rStyle w:val="CharStyle12"/>
          <w:i/>
          <w:iCs/>
        </w:rPr>
        <w:t>Руководства).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Балансплатформа </w:t>
      </w:r>
      <w:r>
        <w:rPr>
          <w:rStyle w:val="CharStyle12"/>
          <w:i/>
          <w:iCs/>
          <w:lang w:val="en-US" w:eastAsia="en-US"/>
        </w:rPr>
        <w:t xml:space="preserve">- </w:t>
      </w:r>
      <w:r>
        <w:rPr>
          <w:rStyle w:val="CharStyle12"/>
          <w:i/>
          <w:iCs/>
        </w:rPr>
        <w:t xml:space="preserve">нестабильная балансировочная платформа, которая предназначена для восстановления равновесия, тренировки баланса и координации для увеличения постуральной стабильности, перемещения веса в пространстве, проприоцепции и управления центром тяжести с использованием БОС (стр. </w:t>
      </w:r>
      <w:r>
        <w:rPr>
          <w:rStyle w:val="CharStyle12"/>
          <w:i/>
          <w:iCs/>
          <w:lang w:val="en-US" w:eastAsia="en-US"/>
        </w:rPr>
        <w:t xml:space="preserve">15 </w:t>
      </w:r>
      <w:r>
        <w:rPr>
          <w:rStyle w:val="CharStyle12"/>
          <w:i/>
          <w:iCs/>
        </w:rPr>
        <w:t xml:space="preserve">Руководства), и имеет габаритные размеры </w:t>
      </w:r>
      <w:r>
        <w:rPr>
          <w:rStyle w:val="CharStyle12"/>
          <w:i/>
          <w:iCs/>
          <w:lang w:val="en-US" w:eastAsia="en-US"/>
        </w:rPr>
        <w:t xml:space="preserve">1000x1000x300 </w:t>
      </w:r>
      <w:r>
        <w:rPr>
          <w:rStyle w:val="CharStyle12"/>
          <w:i/>
          <w:iCs/>
        </w:rPr>
        <w:t xml:space="preserve">(стр.21 Руководства), угол наклона по оси </w:t>
      </w:r>
      <w:r>
        <w:rPr>
          <w:rStyle w:val="CharStyle12"/>
          <w:i/>
          <w:iCs/>
          <w:lang w:val="en-US" w:eastAsia="en-US"/>
        </w:rPr>
        <w:t xml:space="preserve">Y </w:t>
      </w:r>
      <w:r>
        <w:rPr>
          <w:rStyle w:val="CharStyle12"/>
          <w:i/>
          <w:iCs/>
        </w:rPr>
        <w:t xml:space="preserve">(«вперед </w:t>
      </w:r>
      <w:r>
        <w:rPr>
          <w:rStyle w:val="CharStyle12"/>
          <w:i/>
          <w:iCs/>
          <w:lang w:val="en-US" w:eastAsia="en-US"/>
        </w:rPr>
        <w:t xml:space="preserve">- </w:t>
      </w:r>
      <w:r>
        <w:rPr>
          <w:rStyle w:val="CharStyle12"/>
          <w:i/>
          <w:iCs/>
        </w:rPr>
        <w:t xml:space="preserve">назад»), диапазон от минус 12о±3°до+12°±30, угол наклона по оси </w:t>
      </w:r>
      <w:r>
        <w:rPr>
          <w:rStyle w:val="CharStyle12"/>
          <w:i/>
          <w:iCs/>
          <w:lang w:val="en-US" w:eastAsia="en-US"/>
        </w:rPr>
        <w:t xml:space="preserve">X </w:t>
      </w:r>
      <w:r>
        <w:rPr>
          <w:rStyle w:val="CharStyle12"/>
          <w:i/>
          <w:iCs/>
        </w:rPr>
        <w:t xml:space="preserve">(«влево </w:t>
      </w:r>
      <w:r>
        <w:rPr>
          <w:rStyle w:val="CharStyle12"/>
          <w:i/>
          <w:iCs/>
          <w:lang w:val="en-US" w:eastAsia="en-US"/>
        </w:rPr>
        <w:t xml:space="preserve">- </w:t>
      </w:r>
      <w:r>
        <w:rPr>
          <w:rStyle w:val="CharStyle12"/>
          <w:i/>
          <w:iCs/>
        </w:rPr>
        <w:t xml:space="preserve">вправо»), диапазон от минус </w:t>
      </w:r>
      <w:r>
        <w:rPr>
          <w:rStyle w:val="CharStyle12"/>
          <w:i/>
          <w:iCs/>
          <w:lang w:val="en-US" w:eastAsia="en-US"/>
        </w:rPr>
        <w:t xml:space="preserve">17° </w:t>
      </w:r>
      <w:r>
        <w:rPr>
          <w:rStyle w:val="CharStyle12"/>
          <w:i/>
          <w:iCs/>
        </w:rPr>
        <w:t xml:space="preserve">±3°до </w:t>
      </w:r>
      <w:r>
        <w:rPr>
          <w:rStyle w:val="CharStyle12"/>
          <w:i/>
          <w:iCs/>
          <w:lang w:val="en-US" w:eastAsia="en-US"/>
        </w:rPr>
        <w:t xml:space="preserve">+17°± 3° </w:t>
      </w:r>
      <w:r>
        <w:rPr>
          <w:rStyle w:val="CharStyle12"/>
          <w:i/>
          <w:iCs/>
        </w:rPr>
        <w:t>(стр.21 Руководства)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Балансплатформа представляет собой нестабильную балансировочную платформу, жестко установленную на подставку с поручнями для опоры пациента. Принцип действия заключается в способности человека управлять движением платформы относительно исходного положения, стоя на одной или двух ногах (стр. </w:t>
      </w:r>
      <w:r>
        <w:rPr>
          <w:rStyle w:val="CharStyle12"/>
          <w:i/>
          <w:iCs/>
          <w:lang w:val="en-US" w:eastAsia="en-US"/>
        </w:rPr>
        <w:t xml:space="preserve">77 </w:t>
      </w:r>
      <w:r>
        <w:rPr>
          <w:rStyle w:val="CharStyle12"/>
          <w:i/>
          <w:iCs/>
        </w:rPr>
        <w:t>Руководства).</w:t>
      </w:r>
    </w:p>
    <w:p>
      <w:pPr>
        <w:pStyle w:val="Style11"/>
        <w:keepNext w:val="0"/>
        <w:keepLines w:val="0"/>
        <w:widowControl w:val="0"/>
        <w:shd w:val="clear" w:color="auto" w:fill="auto"/>
        <w:bidi w:val="0"/>
        <w:spacing w:before="0" w:after="0"/>
        <w:ind w:left="0" w:right="0" w:firstLine="740"/>
        <w:jc w:val="both"/>
      </w:pPr>
      <w:r>
        <w:rPr>
          <w:rStyle w:val="CharStyle12"/>
          <w:i/>
          <w:iCs/>
        </w:rPr>
        <w:t>В описании объекта закупки заказчиком установлена характеристика «Проведения диагностических и тренировочных процедур с эффектом качания».</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руководству по эксплуатации на Комплекс для реабилитации навыков движений, баланса и осанки «БАЛФИТ» по ТУ </w:t>
      </w:r>
      <w:r>
        <w:rPr>
          <w:rStyle w:val="CharStyle12"/>
          <w:i/>
          <w:iCs/>
          <w:lang w:val="en-US" w:eastAsia="en-US"/>
        </w:rPr>
        <w:t xml:space="preserve">26.60.12-006-637044752021 </w:t>
      </w:r>
      <w:r>
        <w:rPr>
          <w:rStyle w:val="CharStyle12"/>
          <w:i/>
          <w:iCs/>
        </w:rPr>
        <w:t xml:space="preserve">именно балансплатформа обеспечивает эффект качания, так как представляет собой нестабильную балансировочную платформу и имеет углы наклона по взаимоперпендикулярным осям </w:t>
      </w:r>
      <w:r>
        <w:rPr>
          <w:rStyle w:val="CharStyle12"/>
          <w:i/>
          <w:iCs/>
          <w:lang w:val="en-US" w:eastAsia="en-US"/>
        </w:rPr>
        <w:t xml:space="preserve">X </w:t>
      </w:r>
      <w:r>
        <w:rPr>
          <w:rStyle w:val="CharStyle12"/>
          <w:i/>
          <w:iCs/>
        </w:rPr>
        <w:t xml:space="preserve">и </w:t>
      </w:r>
      <w:r>
        <w:rPr>
          <w:rStyle w:val="CharStyle12"/>
          <w:i/>
          <w:iCs/>
          <w:lang w:val="en-US" w:eastAsia="en-US"/>
        </w:rPr>
        <w:t>Y.</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Однако, ООО «Ника» в составе заявки предоставило номер реестровой записи из реестра российской промышленной продукции </w:t>
      </w:r>
      <w:r>
        <w:rPr>
          <w:rStyle w:val="CharStyle12"/>
          <w:i/>
          <w:iCs/>
          <w:lang w:val="en-US" w:eastAsia="en-US"/>
        </w:rPr>
        <w:t xml:space="preserve">- 10636738, </w:t>
      </w:r>
      <w:r>
        <w:rPr>
          <w:rStyle w:val="CharStyle12"/>
          <w:i/>
          <w:iCs/>
        </w:rPr>
        <w:t>которому соответствует «Комплекс для диагностики и реабилитации навыков баланса,</w:t>
      </w:r>
    </w:p>
    <w:p>
      <w:pPr>
        <w:pStyle w:val="Style11"/>
        <w:keepNext w:val="0"/>
        <w:keepLines w:val="0"/>
        <w:widowControl w:val="0"/>
        <w:shd w:val="clear" w:color="auto" w:fill="auto"/>
        <w:bidi w:val="0"/>
        <w:spacing w:before="0" w:after="0"/>
        <w:ind w:left="0" w:right="0" w:firstLine="0"/>
        <w:jc w:val="both"/>
      </w:pPr>
      <w:r>
        <w:rPr>
          <w:rStyle w:val="CharStyle12"/>
          <w:i/>
          <w:iCs/>
        </w:rPr>
        <w:t xml:space="preserve">осанки и движений «БАЛФИТ» по ТУ </w:t>
      </w:r>
      <w:r>
        <w:rPr>
          <w:rStyle w:val="CharStyle12"/>
          <w:i/>
          <w:iCs/>
          <w:lang w:val="en-US" w:eastAsia="en-US"/>
        </w:rPr>
        <w:t xml:space="preserve">26.60.12-006- 63704475-2021, </w:t>
      </w:r>
      <w:r>
        <w:rPr>
          <w:rStyle w:val="CharStyle12"/>
          <w:i/>
          <w:iCs/>
        </w:rPr>
        <w:t xml:space="preserve">исполнение </w:t>
      </w:r>
      <w:r>
        <w:rPr>
          <w:rStyle w:val="CharStyle12"/>
          <w:i/>
          <w:iCs/>
          <w:lang w:val="en-US" w:eastAsia="en-US"/>
        </w:rPr>
        <w:t xml:space="preserve">2», </w:t>
      </w:r>
      <w:r>
        <w:rPr>
          <w:rStyle w:val="CharStyle12"/>
          <w:i/>
          <w:iCs/>
        </w:rPr>
        <w:t>который согласно реестру медицинских изделий не имеет в составе балансплатформы, позволяющей проводить диагностические и тренировочные процедуры с эффектом качания.</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Таким образом, ООО «Ника» предоставлена недостоверная информация в отношении значения «Да» характеристики «Проведения диагностических и тренировочных процедур с эффектом качания» так как предложенный в составе заявки Комплекс для реабилитации навыков движений, баланса и осанки «БАЛФИТ» по ТУ </w:t>
      </w:r>
      <w:r>
        <w:rPr>
          <w:rStyle w:val="CharStyle12"/>
          <w:i/>
          <w:iCs/>
          <w:lang w:val="en-US" w:eastAsia="en-US"/>
        </w:rPr>
        <w:t xml:space="preserve">26.60.12-006-63704475-2021, </w:t>
      </w:r>
      <w:r>
        <w:rPr>
          <w:rStyle w:val="CharStyle12"/>
          <w:i/>
          <w:iCs/>
        </w:rPr>
        <w:t xml:space="preserve">исполнение </w:t>
      </w:r>
      <w:r>
        <w:rPr>
          <w:rStyle w:val="CharStyle12"/>
          <w:i/>
          <w:iCs/>
          <w:lang w:val="en-US" w:eastAsia="en-US"/>
        </w:rPr>
        <w:t xml:space="preserve">2 </w:t>
      </w:r>
      <w:r>
        <w:rPr>
          <w:rStyle w:val="CharStyle12"/>
          <w:i/>
          <w:iCs/>
        </w:rPr>
        <w:t xml:space="preserve">содержит в составе не балансплатформу, а стабилоплатформу (модель </w:t>
      </w:r>
      <w:r>
        <w:rPr>
          <w:rStyle w:val="CharStyle12"/>
          <w:i/>
          <w:iCs/>
          <w:lang w:val="en-US" w:eastAsia="en-US"/>
        </w:rPr>
        <w:t xml:space="preserve">2), </w:t>
      </w:r>
      <w:r>
        <w:rPr>
          <w:rStyle w:val="CharStyle12"/>
          <w:i/>
          <w:iCs/>
        </w:rPr>
        <w:t>которая является жесткой конструкцией, не имеет возможности наклона под воздействием балансировки стоящего на ней пациента.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части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38 </w:t>
      </w:r>
      <w:r>
        <w:rPr>
          <w:rStyle w:val="CharStyle12"/>
          <w:i/>
          <w:iCs/>
        </w:rPr>
        <w:t xml:space="preserve">Федерального закона от </w:t>
      </w:r>
      <w:r>
        <w:rPr>
          <w:rStyle w:val="CharStyle12"/>
          <w:i/>
          <w:iCs/>
          <w:lang w:val="en-US" w:eastAsia="en-US"/>
        </w:rPr>
        <w:t xml:space="preserve">21 </w:t>
      </w:r>
      <w:r>
        <w:rPr>
          <w:rStyle w:val="CharStyle12"/>
          <w:i/>
          <w:iCs/>
        </w:rPr>
        <w:t xml:space="preserve">ноября </w:t>
      </w:r>
      <w:r>
        <w:rPr>
          <w:rStyle w:val="CharStyle12"/>
          <w:i/>
          <w:iCs/>
          <w:lang w:val="en-US" w:eastAsia="en-US"/>
        </w:rPr>
        <w:t xml:space="preserve">2011 </w:t>
      </w:r>
      <w:r>
        <w:rPr>
          <w:rStyle w:val="CharStyle12"/>
          <w:i/>
          <w:iCs/>
        </w:rPr>
        <w:t xml:space="preserve">г. </w:t>
      </w:r>
      <w:r>
        <w:rPr>
          <w:rStyle w:val="CharStyle12"/>
          <w:i/>
          <w:iCs/>
          <w:lang w:val="en-US" w:eastAsia="en-US"/>
        </w:rPr>
        <w:t xml:space="preserve">№ </w:t>
      </w:r>
      <w:r>
        <w:rPr>
          <w:rStyle w:val="CharStyle12"/>
          <w:i/>
          <w:iCs/>
        </w:rPr>
        <w:t xml:space="preserve">323-ФЗ «Об основах охраны здоровья граждан в Российской Федерации» (далее </w:t>
      </w:r>
      <w:r>
        <w:rPr>
          <w:rStyle w:val="CharStyle12"/>
          <w:i/>
          <w:iCs/>
          <w:lang w:val="en-US" w:eastAsia="en-US"/>
        </w:rPr>
        <w:t xml:space="preserve">- </w:t>
      </w:r>
      <w:r>
        <w:rPr>
          <w:rStyle w:val="CharStyle12"/>
          <w:i/>
          <w:iCs/>
        </w:rPr>
        <w:t xml:space="preserve">Закон </w:t>
      </w:r>
      <w:r>
        <w:rPr>
          <w:rStyle w:val="CharStyle12"/>
          <w:i/>
          <w:iCs/>
          <w:lang w:val="en-US" w:eastAsia="en-US"/>
        </w:rPr>
        <w:t xml:space="preserve">№ </w:t>
      </w:r>
      <w:r>
        <w:rPr>
          <w:rStyle w:val="CharStyle12"/>
          <w:i/>
          <w:iCs/>
        </w:rPr>
        <w:t>323-ФЗ)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 составляющими право Евразийского экономического союза.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Пунктом </w:t>
      </w:r>
      <w:r>
        <w:rPr>
          <w:rStyle w:val="CharStyle12"/>
          <w:i/>
          <w:iCs/>
          <w:lang w:val="en-US" w:eastAsia="en-US"/>
        </w:rPr>
        <w:t xml:space="preserve">1 </w:t>
      </w:r>
      <w:r>
        <w:rPr>
          <w:rStyle w:val="CharStyle12"/>
          <w:i/>
          <w:iCs/>
        </w:rPr>
        <w:t xml:space="preserve">постановления Правительства Российской Федерации от </w:t>
      </w:r>
      <w:r>
        <w:rPr>
          <w:rStyle w:val="CharStyle12"/>
          <w:i/>
          <w:iCs/>
          <w:lang w:val="en-US" w:eastAsia="en-US"/>
        </w:rPr>
        <w:t xml:space="preserve">30 </w:t>
      </w:r>
      <w:r>
        <w:rPr>
          <w:rStyle w:val="CharStyle12"/>
          <w:i/>
          <w:iCs/>
        </w:rPr>
        <w:t xml:space="preserve">ноября </w:t>
      </w:r>
      <w:r>
        <w:rPr>
          <w:rStyle w:val="CharStyle12"/>
          <w:i/>
          <w:iCs/>
          <w:lang w:val="en-US" w:eastAsia="en-US"/>
        </w:rPr>
        <w:t xml:space="preserve">2024 </w:t>
      </w:r>
      <w:r>
        <w:rPr>
          <w:rStyle w:val="CharStyle12"/>
          <w:i/>
          <w:iCs/>
        </w:rPr>
        <w:t xml:space="preserve">г. </w:t>
      </w:r>
      <w:r>
        <w:rPr>
          <w:rStyle w:val="CharStyle12"/>
          <w:i/>
          <w:iCs/>
          <w:lang w:val="en-US" w:eastAsia="en-US"/>
        </w:rPr>
        <w:t xml:space="preserve">№ 1684 </w:t>
      </w:r>
      <w:r>
        <w:rPr>
          <w:rStyle w:val="CharStyle12"/>
          <w:i/>
          <w:iCs/>
        </w:rPr>
        <w:t xml:space="preserve">утверждены Правила государственной регистрации медицинских изделий (далее </w:t>
      </w:r>
      <w:r>
        <w:rPr>
          <w:rStyle w:val="CharStyle12"/>
          <w:i/>
          <w:iCs/>
          <w:lang w:val="en-US" w:eastAsia="en-US"/>
        </w:rPr>
        <w:t xml:space="preserve">- </w:t>
      </w:r>
      <w:r>
        <w:rPr>
          <w:rStyle w:val="CharStyle12"/>
          <w:i/>
          <w:iCs/>
        </w:rPr>
        <w:t>Правила).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В соответствии с пунктом </w:t>
      </w:r>
      <w:r>
        <w:rPr>
          <w:rStyle w:val="CharStyle12"/>
          <w:i/>
          <w:iCs/>
          <w:lang w:val="en-US" w:eastAsia="en-US"/>
        </w:rPr>
        <w:t xml:space="preserve">2 </w:t>
      </w:r>
      <w:r>
        <w:rPr>
          <w:rStyle w:val="CharStyle12"/>
          <w:i/>
          <w:iCs/>
        </w:rPr>
        <w:t>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пункту </w:t>
      </w:r>
      <w:r>
        <w:rPr>
          <w:rStyle w:val="CharStyle12"/>
          <w:i/>
          <w:iCs/>
          <w:lang w:val="en-US" w:eastAsia="en-US"/>
        </w:rPr>
        <w:t xml:space="preserve">25 </w:t>
      </w:r>
      <w:r>
        <w:rPr>
          <w:rStyle w:val="CharStyle12"/>
          <w:i/>
          <w:iCs/>
        </w:rPr>
        <w:t>Правил факт государственной регистрации медицинского</w:t>
      </w:r>
    </w:p>
    <w:p>
      <w:pPr>
        <w:pStyle w:val="Style11"/>
        <w:keepNext w:val="0"/>
        <w:keepLines w:val="0"/>
        <w:widowControl w:val="0"/>
        <w:shd w:val="clear" w:color="auto" w:fill="auto"/>
        <w:bidi w:val="0"/>
        <w:spacing w:before="0" w:after="0"/>
        <w:ind w:left="0" w:right="0" w:firstLine="0"/>
        <w:jc w:val="both"/>
      </w:pPr>
      <w:r>
        <w:rPr>
          <w:rStyle w:val="CharStyle12"/>
          <w:i/>
          <w:iCs/>
        </w:rPr>
        <w:t xml:space="preserve">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2"/>
          <w:i/>
          <w:iCs/>
          <w:lang w:val="en-US" w:eastAsia="en-US"/>
        </w:rPr>
        <w:t xml:space="preserve">- </w:t>
      </w:r>
      <w:r>
        <w:rPr>
          <w:rStyle w:val="CharStyle12"/>
          <w:i/>
          <w:iCs/>
        </w:rPr>
        <w:t>реестровая запись).</w:t>
      </w:r>
    </w:p>
    <w:p>
      <w:pPr>
        <w:pStyle w:val="Style11"/>
        <w:keepNext w:val="0"/>
        <w:keepLines w:val="0"/>
        <w:widowControl w:val="0"/>
        <w:shd w:val="clear" w:color="auto" w:fill="auto"/>
        <w:bidi w:val="0"/>
        <w:spacing w:before="0" w:after="0"/>
        <w:ind w:left="0" w:right="0" w:firstLine="740"/>
        <w:jc w:val="both"/>
      </w:pPr>
      <w:r>
        <w:rPr>
          <w:rStyle w:val="CharStyle12"/>
          <w:i/>
          <w:iCs/>
        </w:rPr>
        <w:t>С учетом вышеизложенного, действующим законодательством предусмотрено, что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в реестре медицинских изделий.</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Кроме того, в соответствии с подпунктом «г» пункта </w:t>
      </w:r>
      <w:r>
        <w:rPr>
          <w:rStyle w:val="CharStyle12"/>
          <w:i/>
          <w:iCs/>
          <w:lang w:val="en-US" w:eastAsia="en-US"/>
        </w:rPr>
        <w:t xml:space="preserve">65, </w:t>
      </w:r>
      <w:r>
        <w:rPr>
          <w:rStyle w:val="CharStyle12"/>
          <w:i/>
          <w:iCs/>
        </w:rPr>
        <w:t xml:space="preserve">подпунктом «г» пункта </w:t>
      </w:r>
      <w:r>
        <w:rPr>
          <w:rStyle w:val="CharStyle12"/>
          <w:i/>
          <w:iCs/>
          <w:lang w:val="en-US" w:eastAsia="en-US"/>
        </w:rPr>
        <w:t xml:space="preserve">87 </w:t>
      </w:r>
      <w:r>
        <w:rPr>
          <w:rStyle w:val="CharStyle12"/>
          <w:i/>
          <w:iCs/>
        </w:rPr>
        <w:t xml:space="preserve">Постановления </w:t>
      </w:r>
      <w:r>
        <w:rPr>
          <w:rStyle w:val="CharStyle12"/>
          <w:i/>
          <w:iCs/>
          <w:lang w:val="en-US" w:eastAsia="en-US"/>
        </w:rPr>
        <w:t xml:space="preserve">№ 1684 </w:t>
      </w:r>
      <w:r>
        <w:rPr>
          <w:rStyle w:val="CharStyle12"/>
          <w:i/>
          <w:iCs/>
        </w:rPr>
        <w:t>для государственной регистрации медицинского изделия представляются в том числе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1"/>
        <w:keepNext w:val="0"/>
        <w:keepLines w:val="0"/>
        <w:widowControl w:val="0"/>
        <w:shd w:val="clear" w:color="auto" w:fill="auto"/>
        <w:bidi w:val="0"/>
        <w:spacing w:before="0" w:after="0"/>
        <w:ind w:left="0" w:right="0" w:firstLine="740"/>
        <w:jc w:val="both"/>
      </w:pPr>
      <w:r>
        <w:rPr>
          <w:rStyle w:val="CharStyle12"/>
          <w:i/>
          <w:iCs/>
        </w:rPr>
        <w:t>С учетом изложенного актуальные сведения в отношении медицинских изделий, разрешенных к обращению на территории Российской Федерации, отражены в реестровой записи и инструкции по применению (руководстве по эксплуатации) медицинских изделий, содержащихся в государственном реестре медицинских изделий.</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Таким образом, в силу положений части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38 </w:t>
      </w:r>
      <w:r>
        <w:rPr>
          <w:rStyle w:val="CharStyle12"/>
          <w:i/>
          <w:iCs/>
        </w:rPr>
        <w:t xml:space="preserve">Закон </w:t>
      </w:r>
      <w:r>
        <w:rPr>
          <w:rStyle w:val="CharStyle12"/>
          <w:i/>
          <w:iCs/>
          <w:lang w:val="en-US" w:eastAsia="en-US"/>
        </w:rPr>
        <w:t xml:space="preserve">№ </w:t>
      </w:r>
      <w:r>
        <w:rPr>
          <w:rStyle w:val="CharStyle12"/>
          <w:i/>
          <w:iCs/>
        </w:rPr>
        <w:t xml:space="preserve">323-ФЗ и Правил государственной регистрации медицинских изделий, предложенный в составе заявки Комплекс для реабилитации навыков движений, баланса и осанки «БАЛФИТ» по ТУ </w:t>
      </w:r>
      <w:r>
        <w:rPr>
          <w:rStyle w:val="CharStyle12"/>
          <w:i/>
          <w:iCs/>
          <w:lang w:val="en-US" w:eastAsia="en-US"/>
        </w:rPr>
        <w:t xml:space="preserve">26.60.12-006-63704475-2021, </w:t>
      </w:r>
      <w:r>
        <w:rPr>
          <w:rStyle w:val="CharStyle12"/>
          <w:i/>
          <w:iCs/>
        </w:rPr>
        <w:t xml:space="preserve">исполнение </w:t>
      </w:r>
      <w:r>
        <w:rPr>
          <w:rStyle w:val="CharStyle12"/>
          <w:i/>
          <w:iCs/>
          <w:lang w:val="en-US" w:eastAsia="en-US"/>
        </w:rPr>
        <w:t xml:space="preserve">2, </w:t>
      </w:r>
      <w:r>
        <w:rPr>
          <w:rStyle w:val="CharStyle12"/>
          <w:i/>
          <w:iCs/>
        </w:rPr>
        <w:t>может быть допущен к обращению на территории Российской Федерации в качестве медицинского изделия только в том составе, в котором он зарегистрирован в реестре медицинских изделий, то есть без балансплатформы, обеспечивающей эффект качания.</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Указанная позиция находит отражение и в письме ФАС России </w:t>
      </w:r>
      <w:r>
        <w:rPr>
          <w:rStyle w:val="CharStyle12"/>
          <w:i/>
          <w:iCs/>
          <w:lang w:val="en-US" w:eastAsia="en-US"/>
        </w:rPr>
        <w:t xml:space="preserve">№ </w:t>
      </w:r>
      <w:r>
        <w:rPr>
          <w:rStyle w:val="CharStyle12"/>
          <w:i/>
          <w:iCs/>
        </w:rPr>
        <w:t xml:space="preserve">ГР/48883/25 от </w:t>
      </w:r>
      <w:r>
        <w:rPr>
          <w:rStyle w:val="CharStyle12"/>
          <w:i/>
          <w:iCs/>
          <w:lang w:val="en-US" w:eastAsia="en-US"/>
        </w:rPr>
        <w:t xml:space="preserve">26.05.2025, </w:t>
      </w:r>
      <w:r>
        <w:rPr>
          <w:rStyle w:val="CharStyle12"/>
          <w:i/>
          <w:iCs/>
        </w:rPr>
        <w:t>согласно которому актуальные сведения в отношении медицинских изделий, разрешенных к обращению на территории Российской Федерации, отражены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Таким образом, при необходимости сведения, представленные в заявках участников, следует сверять с приведенными в реестре сведениями.</w:t>
      </w:r>
    </w:p>
    <w:p>
      <w:pPr>
        <w:pStyle w:val="Style11"/>
        <w:keepNext w:val="0"/>
        <w:keepLines w:val="0"/>
        <w:widowControl w:val="0"/>
        <w:shd w:val="clear" w:color="auto" w:fill="auto"/>
        <w:bidi w:val="0"/>
        <w:spacing w:before="0" w:after="80"/>
        <w:ind w:left="0" w:right="0" w:firstLine="740"/>
        <w:jc w:val="both"/>
      </w:pPr>
      <w:r>
        <w:rPr>
          <w:rStyle w:val="CharStyle12"/>
          <w:i/>
          <w:iCs/>
          <w:lang w:val="en-US" w:eastAsia="en-US"/>
        </w:rPr>
        <w:t>&lt;...&gt;</w:t>
      </w:r>
    </w:p>
    <w:p>
      <w:pPr>
        <w:pStyle w:val="Style11"/>
        <w:keepNext w:val="0"/>
        <w:keepLines w:val="0"/>
        <w:widowControl w:val="0"/>
        <w:shd w:val="clear" w:color="auto" w:fill="auto"/>
        <w:bidi w:val="0"/>
        <w:spacing w:before="0" w:after="0"/>
        <w:ind w:left="0" w:right="0" w:firstLine="740"/>
        <w:jc w:val="both"/>
      </w:pPr>
      <w:r>
        <w:rPr>
          <w:rStyle w:val="CharStyle12"/>
          <w:i/>
          <w:iCs/>
        </w:rPr>
        <w:t>Учитывая вышеизложенное, действия заказчика при рассмотрении заявок, считаем законными, в виду чего просим:</w:t>
      </w:r>
    </w:p>
    <w:p>
      <w:pPr>
        <w:pStyle w:val="Style11"/>
        <w:keepNext w:val="0"/>
        <w:keepLines w:val="0"/>
        <w:widowControl w:val="0"/>
        <w:shd w:val="clear" w:color="auto" w:fill="auto"/>
        <w:bidi w:val="0"/>
        <w:spacing w:before="0" w:after="0"/>
        <w:ind w:left="0" w:right="0" w:firstLine="740"/>
        <w:jc w:val="both"/>
      </w:pPr>
      <w:r>
        <w:rPr>
          <w:rStyle w:val="CharStyle12"/>
          <w:i/>
          <w:iCs/>
        </w:rPr>
        <w:t>Просим признать жалобу не обоснованной</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Согласно отзыву победителя Закупки:</w:t>
      </w:r>
    </w:p>
    <w:p>
      <w:pPr>
        <w:pStyle w:val="Style11"/>
        <w:keepNext w:val="0"/>
        <w:keepLines w:val="0"/>
        <w:widowControl w:val="0"/>
        <w:shd w:val="clear" w:color="auto" w:fill="auto"/>
        <w:bidi w:val="0"/>
        <w:spacing w:before="0" w:after="0"/>
        <w:ind w:left="0" w:right="0" w:firstLine="740"/>
        <w:jc w:val="both"/>
      </w:pPr>
      <w:r>
        <w:rPr>
          <w:rStyle w:val="CharStyle12"/>
        </w:rPr>
        <w:t>«</w:t>
      </w:r>
      <w:r>
        <w:rPr>
          <w:rStyle w:val="CharStyle12"/>
          <w:i/>
          <w:iCs/>
        </w:rPr>
        <w:t xml:space="preserve">Исходя из содержания жалобы ООО «Ника» и протокола подведения итогов определения поставщика (подрядчика, исполнителя) по закупке </w:t>
      </w:r>
      <w:r>
        <w:rPr>
          <w:rStyle w:val="CharStyle12"/>
          <w:i/>
          <w:iCs/>
          <w:lang w:val="en-US" w:eastAsia="en-US"/>
        </w:rPr>
        <w:t xml:space="preserve">0174500001126002036 </w:t>
      </w:r>
      <w:r>
        <w:rPr>
          <w:rStyle w:val="CharStyle12"/>
          <w:i/>
          <w:iCs/>
        </w:rPr>
        <w:t xml:space="preserve">от </w:t>
      </w:r>
      <w:r>
        <w:rPr>
          <w:rStyle w:val="CharStyle12"/>
          <w:i/>
          <w:iCs/>
          <w:lang w:val="en-US" w:eastAsia="en-US"/>
        </w:rPr>
        <w:t xml:space="preserve">23.04.2026 </w:t>
      </w:r>
      <w:r>
        <w:rPr>
          <w:rStyle w:val="CharStyle12"/>
          <w:i/>
          <w:iCs/>
        </w:rPr>
        <w:t xml:space="preserve">г., ООО «Ника» предложен к поставке товар «Комплекс для диагностики и реабилитации навыков баланса, осанки и движений «БАЛФИТ» по ТУ </w:t>
      </w:r>
      <w:r>
        <w:rPr>
          <w:rStyle w:val="CharStyle12"/>
          <w:i/>
          <w:iCs/>
          <w:lang w:val="en-US" w:eastAsia="en-US"/>
        </w:rPr>
        <w:t xml:space="preserve">26.60.12-006- 63704475-2021, </w:t>
      </w:r>
      <w:r>
        <w:rPr>
          <w:rStyle w:val="CharStyle12"/>
          <w:i/>
          <w:iCs/>
        </w:rPr>
        <w:t xml:space="preserve">исполнение </w:t>
      </w:r>
      <w:r>
        <w:rPr>
          <w:rStyle w:val="CharStyle12"/>
          <w:i/>
          <w:iCs/>
          <w:lang w:val="en-US" w:eastAsia="en-US"/>
        </w:rPr>
        <w:t xml:space="preserve">2» </w:t>
      </w:r>
      <w:r>
        <w:rPr>
          <w:rStyle w:val="CharStyle12"/>
          <w:i/>
          <w:iCs/>
        </w:rPr>
        <w:t xml:space="preserve">и приложена выписка из реестра российской промышленной продукции с номером реестровой записи </w:t>
      </w:r>
      <w:r>
        <w:rPr>
          <w:rStyle w:val="CharStyle12"/>
          <w:i/>
          <w:iCs/>
          <w:lang w:val="en-US" w:eastAsia="en-US"/>
        </w:rPr>
        <w:t xml:space="preserve">10636738, </w:t>
      </w:r>
      <w:r>
        <w:rPr>
          <w:rStyle w:val="CharStyle12"/>
          <w:i/>
          <w:iCs/>
        </w:rPr>
        <w:t>которая соответствует данному товару.</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В реестре медицинских изделий Росздравнадзора зарегистрирован Комплекс для диагностики и реабилитации навыков баланса, осанки и движений «БАЛФИТ» по ТУ </w:t>
      </w:r>
      <w:r>
        <w:rPr>
          <w:rStyle w:val="CharStyle12"/>
          <w:i/>
          <w:iCs/>
          <w:lang w:val="en-US" w:eastAsia="en-US"/>
        </w:rPr>
        <w:t xml:space="preserve">26.60.12-006-63704475-2021 </w:t>
      </w:r>
      <w:r>
        <w:rPr>
          <w:rStyle w:val="CharStyle12"/>
          <w:i/>
          <w:iCs/>
        </w:rPr>
        <w:t xml:space="preserve">с принадлежностями </w:t>
      </w:r>
      <w:r>
        <w:rPr>
          <w:rStyle w:val="CharStyle12"/>
          <w:i/>
          <w:iCs/>
          <w:lang w:val="en-US" w:eastAsia="en-US"/>
        </w:rPr>
        <w:t xml:space="preserve">(№ </w:t>
      </w:r>
      <w:r>
        <w:rPr>
          <w:rStyle w:val="CharStyle12"/>
          <w:i/>
          <w:iCs/>
        </w:rPr>
        <w:t xml:space="preserve">регистрационного удостоверения РЗН </w:t>
      </w:r>
      <w:r>
        <w:rPr>
          <w:rStyle w:val="CharStyle12"/>
          <w:i/>
          <w:iCs/>
          <w:lang w:val="en-US" w:eastAsia="en-US"/>
        </w:rPr>
        <w:t xml:space="preserve">2022/18688) </w:t>
      </w:r>
      <w:r>
        <w:rPr>
          <w:rStyle w:val="CharStyle12"/>
          <w:i/>
          <w:iCs/>
        </w:rPr>
        <w:t>в трех вариантах исполнения.</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При этом согласно информации в реестре медицинских изделий комплекс для диагностики и реабилитации навыков баланса, осанки и движений «БАЛФИТ» по ТУ </w:t>
      </w:r>
      <w:r>
        <w:rPr>
          <w:rStyle w:val="CharStyle12"/>
          <w:i/>
          <w:iCs/>
          <w:lang w:val="en-US" w:eastAsia="en-US"/>
        </w:rPr>
        <w:t xml:space="preserve">26.60.12-006- 63704475-2021, </w:t>
      </w:r>
      <w:r>
        <w:rPr>
          <w:rStyle w:val="CharStyle12"/>
          <w:i/>
          <w:iCs/>
        </w:rPr>
        <w:t xml:space="preserve">в исполнениях </w:t>
      </w:r>
      <w:r>
        <w:rPr>
          <w:rStyle w:val="CharStyle12"/>
          <w:i/>
          <w:iCs/>
          <w:lang w:val="en-US" w:eastAsia="en-US"/>
        </w:rPr>
        <w:t xml:space="preserve">1 </w:t>
      </w:r>
      <w:r>
        <w:rPr>
          <w:rStyle w:val="CharStyle12"/>
          <w:i/>
          <w:iCs/>
        </w:rPr>
        <w:t xml:space="preserve">и </w:t>
      </w:r>
      <w:r>
        <w:rPr>
          <w:rStyle w:val="CharStyle12"/>
          <w:i/>
          <w:iCs/>
          <w:lang w:val="en-US" w:eastAsia="en-US"/>
        </w:rPr>
        <w:t xml:space="preserve">2 </w:t>
      </w:r>
      <w:r>
        <w:rPr>
          <w:rStyle w:val="CharStyle12"/>
          <w:i/>
          <w:iCs/>
        </w:rPr>
        <w:t xml:space="preserve">имеет в составе стабилоплатформу (модель </w:t>
      </w:r>
      <w:r>
        <w:rPr>
          <w:rStyle w:val="CharStyle12"/>
          <w:i/>
          <w:iCs/>
          <w:lang w:val="en-US" w:eastAsia="en-US"/>
        </w:rPr>
        <w:t xml:space="preserve">1 - </w:t>
      </w:r>
      <w:r>
        <w:rPr>
          <w:rStyle w:val="CharStyle12"/>
          <w:i/>
          <w:iCs/>
        </w:rPr>
        <w:t xml:space="preserve">в исполнении </w:t>
      </w:r>
      <w:r>
        <w:rPr>
          <w:rStyle w:val="CharStyle12"/>
          <w:i/>
          <w:iCs/>
          <w:lang w:val="en-US" w:eastAsia="en-US"/>
        </w:rPr>
        <w:t xml:space="preserve">1 </w:t>
      </w:r>
      <w:r>
        <w:rPr>
          <w:rStyle w:val="CharStyle12"/>
          <w:i/>
          <w:iCs/>
        </w:rPr>
        <w:t xml:space="preserve">и модель </w:t>
      </w:r>
      <w:r>
        <w:rPr>
          <w:rStyle w:val="CharStyle12"/>
          <w:i/>
          <w:iCs/>
          <w:lang w:val="en-US" w:eastAsia="en-US"/>
        </w:rPr>
        <w:t xml:space="preserve">2 - </w:t>
      </w:r>
      <w:r>
        <w:rPr>
          <w:rStyle w:val="CharStyle12"/>
          <w:i/>
          <w:iCs/>
        </w:rPr>
        <w:t xml:space="preserve">в исполнении </w:t>
      </w:r>
      <w:r>
        <w:rPr>
          <w:rStyle w:val="CharStyle12"/>
          <w:i/>
          <w:iCs/>
          <w:lang w:val="en-US" w:eastAsia="en-US"/>
        </w:rPr>
        <w:t xml:space="preserve">2), </w:t>
      </w:r>
      <w:r>
        <w:rPr>
          <w:rStyle w:val="CharStyle12"/>
          <w:i/>
          <w:iCs/>
        </w:rPr>
        <w:t xml:space="preserve">а в исполнении </w:t>
      </w:r>
      <w:r>
        <w:rPr>
          <w:rStyle w:val="CharStyle12"/>
          <w:i/>
          <w:iCs/>
          <w:lang w:val="en-US" w:eastAsia="en-US"/>
        </w:rPr>
        <w:t xml:space="preserve">3 </w:t>
      </w:r>
      <w:r>
        <w:rPr>
          <w:rStyle w:val="CharStyle12"/>
          <w:i/>
          <w:iCs/>
        </w:rPr>
        <w:t>в составе комплекса имеется балансплатформа.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В описании объекта закупки указана характеристика «Проведения диагностических и тренировочных процедур с эффектом качания» и установлено значение такой характеристики </w:t>
      </w:r>
      <w:r>
        <w:rPr>
          <w:rStyle w:val="CharStyle12"/>
          <w:i/>
          <w:iCs/>
          <w:lang w:val="en-US" w:eastAsia="en-US"/>
        </w:rPr>
        <w:t xml:space="preserve">- </w:t>
      </w:r>
      <w:r>
        <w:rPr>
          <w:rStyle w:val="CharStyle12"/>
          <w:i/>
          <w:iCs/>
        </w:rPr>
        <w:t>«Да».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размещенному в реестре медицинских изделий руководству по эксплуатации на Комплекс для реабилитации навыков движений, баланса и осанки «БАЛФИТ» по ТУ </w:t>
      </w:r>
      <w:r>
        <w:rPr>
          <w:rStyle w:val="CharStyle12"/>
          <w:i/>
          <w:iCs/>
          <w:lang w:val="en-US" w:eastAsia="en-US"/>
        </w:rPr>
        <w:t xml:space="preserve">26.60.12-006-63704475-2021 </w:t>
      </w:r>
      <w:r>
        <w:rPr>
          <w:rStyle w:val="CharStyle12"/>
          <w:i/>
          <w:iCs/>
        </w:rPr>
        <w:t xml:space="preserve">(далее </w:t>
      </w:r>
      <w:r>
        <w:rPr>
          <w:rStyle w:val="CharStyle12"/>
          <w:i/>
          <w:iCs/>
          <w:lang w:val="en-US" w:eastAsia="en-US"/>
        </w:rPr>
        <w:t xml:space="preserve">- </w:t>
      </w:r>
      <w:r>
        <w:rPr>
          <w:rStyle w:val="CharStyle12"/>
          <w:i/>
          <w:iCs/>
        </w:rPr>
        <w:t xml:space="preserve">руководство по эксплуатации) проведение диагностических и тренировочных процедур с эффектом качания обеспечивается с помощью балансплатформы, которая представляет собой нестабильную балансировочную платформу и имеет углы наклона по взаимоперпендикулярным осям </w:t>
      </w:r>
      <w:r>
        <w:rPr>
          <w:rStyle w:val="CharStyle12"/>
          <w:i/>
          <w:iCs/>
          <w:lang w:val="en-US" w:eastAsia="en-US"/>
        </w:rPr>
        <w:t xml:space="preserve">X </w:t>
      </w:r>
      <w:r>
        <w:rPr>
          <w:rStyle w:val="CharStyle12"/>
          <w:i/>
          <w:iCs/>
        </w:rPr>
        <w:t xml:space="preserve">и </w:t>
      </w:r>
      <w:r>
        <w:rPr>
          <w:rStyle w:val="CharStyle12"/>
          <w:i/>
          <w:iCs/>
          <w:lang w:val="en-US" w:eastAsia="en-US"/>
        </w:rPr>
        <w:t>Y.</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Так на странице </w:t>
      </w:r>
      <w:r>
        <w:rPr>
          <w:rStyle w:val="CharStyle12"/>
          <w:i/>
          <w:iCs/>
          <w:lang w:val="en-US" w:eastAsia="en-US"/>
        </w:rPr>
        <w:t xml:space="preserve">15 </w:t>
      </w:r>
      <w:r>
        <w:rPr>
          <w:rStyle w:val="CharStyle12"/>
          <w:i/>
          <w:iCs/>
        </w:rPr>
        <w:t xml:space="preserve">руководства по эксплуатации указано, что «балансплатформа </w:t>
      </w:r>
      <w:r>
        <w:rPr>
          <w:rStyle w:val="CharStyle12"/>
          <w:i/>
          <w:iCs/>
          <w:lang w:val="en-US" w:eastAsia="en-US"/>
        </w:rPr>
        <w:t xml:space="preserve">- </w:t>
      </w:r>
      <w:r>
        <w:rPr>
          <w:rStyle w:val="CharStyle12"/>
          <w:i/>
          <w:iCs/>
        </w:rPr>
        <w:t>нестабильная балансировочная платформа, которая предназначена для восстановления равновесия, тренировки баланса и координации для увеличения постуральной стабильности, перемещения веса в пространстве, проприоцепции и управления центром тяжести с использованием БОС»</w:t>
      </w:r>
    </w:p>
    <w:p>
      <w:pPr>
        <w:pStyle w:val="Style11"/>
        <w:keepNext w:val="0"/>
        <w:keepLines w:val="0"/>
        <w:widowControl w:val="0"/>
        <w:shd w:val="clear" w:color="auto" w:fill="auto"/>
        <w:bidi w:val="0"/>
        <w:spacing w:before="0" w:after="80"/>
        <w:ind w:left="0" w:right="0" w:firstLine="740"/>
        <w:jc w:val="both"/>
      </w:pPr>
      <w:r>
        <w:rPr>
          <w:rStyle w:val="CharStyle12"/>
          <w:i/>
          <w:iCs/>
          <w:lang w:val="en-US" w:eastAsia="en-US"/>
        </w:rPr>
        <w:t>&lt;...&gt;</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Согласно характеристикам, указанным на странице </w:t>
      </w:r>
      <w:r>
        <w:rPr>
          <w:rStyle w:val="CharStyle12"/>
          <w:i/>
          <w:iCs/>
          <w:lang w:val="en-US" w:eastAsia="en-US"/>
        </w:rPr>
        <w:t xml:space="preserve">21 </w:t>
      </w:r>
      <w:r>
        <w:rPr>
          <w:rStyle w:val="CharStyle12"/>
          <w:i/>
          <w:iCs/>
        </w:rPr>
        <w:t xml:space="preserve">руководства по эксплуатации балансплатформа имеет «угол наклона по оси </w:t>
      </w:r>
      <w:r>
        <w:rPr>
          <w:rStyle w:val="CharStyle12"/>
          <w:i/>
          <w:iCs/>
          <w:lang w:val="en-US" w:eastAsia="en-US"/>
        </w:rPr>
        <w:t xml:space="preserve">Y </w:t>
      </w:r>
      <w:r>
        <w:rPr>
          <w:rStyle w:val="CharStyle12"/>
          <w:i/>
          <w:iCs/>
        </w:rPr>
        <w:t xml:space="preserve">(«вперед </w:t>
      </w:r>
      <w:r>
        <w:rPr>
          <w:rStyle w:val="CharStyle12"/>
          <w:i/>
          <w:iCs/>
          <w:lang w:val="en-US" w:eastAsia="en-US"/>
        </w:rPr>
        <w:t xml:space="preserve">- </w:t>
      </w:r>
      <w:r>
        <w:rPr>
          <w:rStyle w:val="CharStyle12"/>
          <w:i/>
          <w:iCs/>
        </w:rPr>
        <w:t xml:space="preserve">назад»), диапазон от минус 12°±3°до+12°±3°, угол наклона по оси </w:t>
      </w:r>
      <w:r>
        <w:rPr>
          <w:rStyle w:val="CharStyle12"/>
          <w:i/>
          <w:iCs/>
          <w:lang w:val="en-US" w:eastAsia="en-US"/>
        </w:rPr>
        <w:t xml:space="preserve">X </w:t>
      </w:r>
      <w:r>
        <w:rPr>
          <w:rStyle w:val="CharStyle12"/>
          <w:i/>
          <w:iCs/>
        </w:rPr>
        <w:t xml:space="preserve">(«влево </w:t>
      </w:r>
      <w:r>
        <w:rPr>
          <w:rStyle w:val="CharStyle12"/>
          <w:i/>
          <w:iCs/>
          <w:lang w:val="en-US" w:eastAsia="en-US"/>
        </w:rPr>
        <w:t xml:space="preserve">- </w:t>
      </w:r>
      <w:r>
        <w:rPr>
          <w:rStyle w:val="CharStyle12"/>
          <w:i/>
          <w:iCs/>
        </w:rPr>
        <w:t>вправо»),</w:t>
      </w:r>
    </w:p>
    <w:p>
      <w:pPr>
        <w:pStyle w:val="Style11"/>
        <w:keepNext w:val="0"/>
        <w:keepLines w:val="0"/>
        <w:widowControl w:val="0"/>
        <w:shd w:val="clear" w:color="auto" w:fill="auto"/>
        <w:bidi w:val="0"/>
        <w:spacing w:before="0" w:after="0"/>
        <w:ind w:left="0" w:right="0" w:firstLine="0"/>
        <w:jc w:val="both"/>
      </w:pPr>
      <w:r>
        <w:rPr>
          <w:rStyle w:val="CharStyle12"/>
          <w:i/>
          <w:iCs/>
        </w:rPr>
        <w:t xml:space="preserve">диапазон от минус17° ±3°до </w:t>
      </w:r>
      <w:r>
        <w:rPr>
          <w:rStyle w:val="CharStyle12"/>
          <w:i/>
          <w:iCs/>
          <w:lang w:val="en-US" w:eastAsia="en-US"/>
        </w:rPr>
        <w:t xml:space="preserve">+17°± 3°», </w:t>
      </w:r>
      <w:r>
        <w:rPr>
          <w:rStyle w:val="CharStyle12"/>
          <w:i/>
          <w:iCs/>
        </w:rPr>
        <w:t>что и обеспечивает «эффект качания», требуемый заказчику.</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На странице </w:t>
      </w:r>
      <w:r>
        <w:rPr>
          <w:rStyle w:val="CharStyle12"/>
          <w:i/>
          <w:iCs/>
          <w:lang w:val="en-US" w:eastAsia="en-US"/>
        </w:rPr>
        <w:t xml:space="preserve">77 </w:t>
      </w:r>
      <w:r>
        <w:rPr>
          <w:rStyle w:val="CharStyle12"/>
          <w:i/>
          <w:iCs/>
        </w:rPr>
        <w:t>руководства по эксплуатации также указано, что «балансплатформа представляет собой нестабильную балансировочную платформу, жестко установленную на подставку с поручнями для опоры пациента. Принцип действия заключается в способности человека управлять движением платформы относительно исходного положения, стоя на одной или двух ногах».</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В свою очередь, согласно странице </w:t>
      </w:r>
      <w:r>
        <w:rPr>
          <w:rStyle w:val="CharStyle12"/>
          <w:i/>
          <w:iCs/>
          <w:lang w:val="en-US" w:eastAsia="en-US"/>
        </w:rPr>
        <w:t xml:space="preserve">13 </w:t>
      </w:r>
      <w:r>
        <w:rPr>
          <w:rStyle w:val="CharStyle12"/>
          <w:i/>
          <w:iCs/>
        </w:rPr>
        <w:t xml:space="preserve">руководства по эксплуатации, имеющаяся в составе предложенного ООО «Ника» комплекса «Балфит» в варианте исполнения </w:t>
      </w:r>
      <w:r>
        <w:rPr>
          <w:rStyle w:val="CharStyle12"/>
          <w:i/>
          <w:iCs/>
          <w:lang w:val="en-US" w:eastAsia="en-US"/>
        </w:rPr>
        <w:t xml:space="preserve">2 </w:t>
      </w:r>
      <w:r>
        <w:rPr>
          <w:rStyle w:val="CharStyle12"/>
          <w:i/>
          <w:iCs/>
        </w:rPr>
        <w:t xml:space="preserve">стабилоплатформа (модель </w:t>
      </w:r>
      <w:r>
        <w:rPr>
          <w:rStyle w:val="CharStyle12"/>
          <w:i/>
          <w:iCs/>
          <w:lang w:val="en-US" w:eastAsia="en-US"/>
        </w:rPr>
        <w:t xml:space="preserve">2) </w:t>
      </w:r>
      <w:r>
        <w:rPr>
          <w:rStyle w:val="CharStyle12"/>
          <w:i/>
          <w:iCs/>
        </w:rPr>
        <w:t>«предназначена для получения информации о массе тела пациента и координатах центра его давления на опорную поверхность», то есть стабилоплатформа представляет собой жесткую конструкцию, не имеет возможности наклона под воздействием балансировки стоящего на ней пациента.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Кроме того, на страницах </w:t>
      </w:r>
      <w:r>
        <w:rPr>
          <w:rStyle w:val="CharStyle12"/>
          <w:i/>
          <w:iCs/>
          <w:lang w:val="en-US" w:eastAsia="en-US"/>
        </w:rPr>
        <w:t xml:space="preserve">19 </w:t>
      </w:r>
      <w:r>
        <w:rPr>
          <w:rStyle w:val="CharStyle12"/>
          <w:i/>
          <w:iCs/>
        </w:rPr>
        <w:t xml:space="preserve">и </w:t>
      </w:r>
      <w:r>
        <w:rPr>
          <w:rStyle w:val="CharStyle12"/>
          <w:i/>
          <w:iCs/>
          <w:lang w:val="en-US" w:eastAsia="en-US"/>
        </w:rPr>
        <w:t xml:space="preserve">21 </w:t>
      </w:r>
      <w:r>
        <w:rPr>
          <w:rStyle w:val="CharStyle12"/>
          <w:i/>
          <w:iCs/>
        </w:rPr>
        <w:t>руководства по эксплуатации указаны габаритные размеры:</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стабилоплатформы </w:t>
      </w:r>
      <w:r>
        <w:rPr>
          <w:rStyle w:val="CharStyle12"/>
          <w:i/>
          <w:iCs/>
          <w:lang w:val="en-US" w:eastAsia="en-US"/>
        </w:rPr>
        <w:t xml:space="preserve">- </w:t>
      </w:r>
      <w:r>
        <w:rPr>
          <w:rStyle w:val="CharStyle12"/>
          <w:i/>
          <w:iCs/>
        </w:rPr>
        <w:t>500х500х40 мм</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балансплатформы </w:t>
      </w:r>
      <w:r>
        <w:rPr>
          <w:rStyle w:val="CharStyle12"/>
          <w:i/>
          <w:iCs/>
          <w:lang w:val="en-US" w:eastAsia="en-US"/>
        </w:rPr>
        <w:t xml:space="preserve">- </w:t>
      </w:r>
      <w:r>
        <w:rPr>
          <w:rStyle w:val="CharStyle12"/>
          <w:i/>
          <w:iCs/>
        </w:rPr>
        <w:t>1000х1000х300 мм</w:t>
      </w:r>
    </w:p>
    <w:p>
      <w:pPr>
        <w:pStyle w:val="Style11"/>
        <w:keepNext w:val="0"/>
        <w:keepLines w:val="0"/>
        <w:widowControl w:val="0"/>
        <w:shd w:val="clear" w:color="auto" w:fill="auto"/>
        <w:bidi w:val="0"/>
        <w:spacing w:before="0" w:after="0"/>
        <w:ind w:left="0" w:right="0" w:firstLine="740"/>
        <w:jc w:val="both"/>
      </w:pPr>
      <w:r>
        <w:rPr>
          <w:rStyle w:val="CharStyle12"/>
          <w:i/>
          <w:iCs/>
        </w:rPr>
        <w:t>При этом в описании объекта закупки заказчиком установлены следующие характеристики:</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Таким образом, согласно размещенной в реестре медицинских изделий на сайте Росздравнадзора информации в составе предложенного ООО «Ника» комплекса «Балфит» в варианте исполнения </w:t>
      </w:r>
      <w:r>
        <w:rPr>
          <w:rStyle w:val="CharStyle12"/>
          <w:i/>
          <w:iCs/>
          <w:lang w:val="en-US" w:eastAsia="en-US"/>
        </w:rPr>
        <w:t xml:space="preserve">2 </w:t>
      </w:r>
      <w:r>
        <w:rPr>
          <w:rStyle w:val="CharStyle12"/>
          <w:i/>
          <w:iCs/>
        </w:rPr>
        <w:t>отсутствует баланспортформа обеспечивающая проведение диагностических и тренировочных процедур с эффектом качания, следовательно ООО «Ника» в заявке предоставлена недостоверная информация в отношении значения характеристики «проведение диагностических и тренировочных процедур с эффектом качания».</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Кроме того, имеющаяся в исполнении </w:t>
      </w:r>
      <w:r>
        <w:rPr>
          <w:rStyle w:val="CharStyle12"/>
          <w:i/>
          <w:iCs/>
          <w:lang w:val="en-US" w:eastAsia="en-US"/>
        </w:rPr>
        <w:t xml:space="preserve">3 </w:t>
      </w:r>
      <w:r>
        <w:rPr>
          <w:rStyle w:val="CharStyle12"/>
          <w:i/>
          <w:iCs/>
        </w:rPr>
        <w:t>Балансплатформа не отвечает требованиям описания объекта закупки в части значений характеристик габаритная длины и габаритная ширина.</w:t>
      </w:r>
    </w:p>
    <w:p>
      <w:pPr>
        <w:pStyle w:val="Style11"/>
        <w:keepNext w:val="0"/>
        <w:keepLines w:val="0"/>
        <w:widowControl w:val="0"/>
        <w:shd w:val="clear" w:color="auto" w:fill="auto"/>
        <w:bidi w:val="0"/>
        <w:spacing w:before="0" w:after="0"/>
        <w:ind w:left="0" w:right="0" w:firstLine="740"/>
        <w:jc w:val="both"/>
      </w:pPr>
      <w:r>
        <w:rPr>
          <w:rStyle w:val="CharStyle12"/>
          <w:i/>
          <w:iCs/>
        </w:rPr>
        <w:t xml:space="preserve">В соответствии с частью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38 </w:t>
      </w:r>
      <w:r>
        <w:rPr>
          <w:rStyle w:val="CharStyle12"/>
          <w:i/>
          <w:iCs/>
        </w:rPr>
        <w:t xml:space="preserve">Федерального закона от </w:t>
      </w:r>
      <w:r>
        <w:rPr>
          <w:rStyle w:val="CharStyle12"/>
          <w:i/>
          <w:iCs/>
          <w:lang w:val="en-US" w:eastAsia="en-US"/>
        </w:rPr>
        <w:t xml:space="preserve">21 </w:t>
      </w:r>
      <w:r>
        <w:rPr>
          <w:rStyle w:val="CharStyle12"/>
          <w:i/>
          <w:iCs/>
        </w:rPr>
        <w:t xml:space="preserve">ноября </w:t>
      </w:r>
      <w:r>
        <w:rPr>
          <w:rStyle w:val="CharStyle12"/>
          <w:i/>
          <w:iCs/>
          <w:lang w:val="en-US" w:eastAsia="en-US"/>
        </w:rPr>
        <w:t xml:space="preserve">2011 </w:t>
      </w:r>
      <w:r>
        <w:rPr>
          <w:rStyle w:val="CharStyle12"/>
          <w:i/>
          <w:iCs/>
        </w:rPr>
        <w:t xml:space="preserve">г. </w:t>
      </w:r>
      <w:r>
        <w:rPr>
          <w:rStyle w:val="CharStyle12"/>
          <w:i/>
          <w:iCs/>
          <w:lang w:val="en-US" w:eastAsia="en-US"/>
        </w:rPr>
        <w:t xml:space="preserve">№ </w:t>
      </w:r>
      <w:r>
        <w:rPr>
          <w:rStyle w:val="CharStyle12"/>
          <w:i/>
          <w:iCs/>
        </w:rPr>
        <w:t xml:space="preserve">323-ФЗ «Об основах охраны здоровья граждан в Российской Федерации» (далее -Закон </w:t>
      </w:r>
      <w:r>
        <w:rPr>
          <w:rStyle w:val="CharStyle12"/>
          <w:i/>
          <w:iCs/>
          <w:lang w:val="en-US" w:eastAsia="en-US"/>
        </w:rPr>
        <w:t xml:space="preserve">№ </w:t>
      </w:r>
      <w:r>
        <w:rPr>
          <w:rStyle w:val="CharStyle12"/>
          <w:i/>
          <w:iCs/>
        </w:rPr>
        <w:t>323-ФЗ)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w:t>
      </w:r>
    </w:p>
    <w:p>
      <w:pPr>
        <w:pStyle w:val="Style11"/>
        <w:keepNext w:val="0"/>
        <w:keepLines w:val="0"/>
        <w:widowControl w:val="0"/>
        <w:shd w:val="clear" w:color="auto" w:fill="auto"/>
        <w:bidi w:val="0"/>
        <w:spacing w:before="0" w:after="0"/>
        <w:ind w:left="0" w:right="0" w:firstLine="0"/>
        <w:jc w:val="both"/>
      </w:pPr>
      <w:r>
        <w:rPr>
          <w:rStyle w:val="CharStyle12"/>
          <w:i/>
          <w:iCs/>
        </w:rPr>
        <w:t>составляющими право Евразийского экономического союза.</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Постановлением Правительства Российской Федерации от </w:t>
      </w:r>
      <w:r>
        <w:rPr>
          <w:rStyle w:val="CharStyle12"/>
          <w:i/>
          <w:iCs/>
          <w:lang w:val="en-US" w:eastAsia="en-US"/>
        </w:rPr>
        <w:t xml:space="preserve">30 </w:t>
      </w:r>
      <w:r>
        <w:rPr>
          <w:rStyle w:val="CharStyle12"/>
          <w:i/>
          <w:iCs/>
        </w:rPr>
        <w:t xml:space="preserve">ноября </w:t>
      </w:r>
      <w:r>
        <w:rPr>
          <w:rStyle w:val="CharStyle12"/>
          <w:i/>
          <w:iCs/>
          <w:lang w:val="en-US" w:eastAsia="en-US"/>
        </w:rPr>
        <w:t xml:space="preserve">2024 </w:t>
      </w:r>
      <w:r>
        <w:rPr>
          <w:rStyle w:val="CharStyle12"/>
          <w:i/>
          <w:iCs/>
        </w:rPr>
        <w:t xml:space="preserve">г. </w:t>
      </w:r>
      <w:r>
        <w:rPr>
          <w:rStyle w:val="CharStyle12"/>
          <w:i/>
          <w:iCs/>
          <w:lang w:val="en-US" w:eastAsia="en-US"/>
        </w:rPr>
        <w:t xml:space="preserve">№ 1684 </w:t>
      </w:r>
      <w:r>
        <w:rPr>
          <w:rStyle w:val="CharStyle12"/>
          <w:i/>
          <w:iCs/>
        </w:rPr>
        <w:t xml:space="preserve">утверждены Правила государственной регистрации медицинских изделий (далее </w:t>
      </w:r>
      <w:r>
        <w:rPr>
          <w:rStyle w:val="CharStyle12"/>
          <w:i/>
          <w:iCs/>
          <w:lang w:val="en-US" w:eastAsia="en-US"/>
        </w:rPr>
        <w:t xml:space="preserve">- </w:t>
      </w:r>
      <w:r>
        <w:rPr>
          <w:rStyle w:val="CharStyle12"/>
          <w:i/>
          <w:iCs/>
        </w:rPr>
        <w:t>Правила регистрации медицинских изделий).</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В соответствии с пунктом </w:t>
      </w:r>
      <w:r>
        <w:rPr>
          <w:rStyle w:val="CharStyle12"/>
          <w:i/>
          <w:iCs/>
          <w:lang w:val="en-US" w:eastAsia="en-US"/>
        </w:rPr>
        <w:t xml:space="preserve">2 </w:t>
      </w:r>
      <w:r>
        <w:rPr>
          <w:rStyle w:val="CharStyle12"/>
          <w:i/>
          <w:iCs/>
        </w:rPr>
        <w:t>Правил регистрации медицинских изделий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Пунктом </w:t>
      </w:r>
      <w:r>
        <w:rPr>
          <w:rStyle w:val="CharStyle12"/>
          <w:i/>
          <w:iCs/>
          <w:lang w:val="en-US" w:eastAsia="en-US"/>
        </w:rPr>
        <w:t xml:space="preserve">25 </w:t>
      </w:r>
      <w:r>
        <w:rPr>
          <w:rStyle w:val="CharStyle12"/>
          <w:i/>
          <w:iCs/>
        </w:rPr>
        <w:t xml:space="preserve">Правил регистрации медицинских изделий установлено, что факт государственной регистрации медицинского изделия подтверждается реестровой записью, вносимой регистрирующим органом в государственный реестр (далее </w:t>
      </w:r>
      <w:r>
        <w:rPr>
          <w:rStyle w:val="CharStyle12"/>
          <w:i/>
          <w:iCs/>
          <w:lang w:val="en-US" w:eastAsia="en-US"/>
        </w:rPr>
        <w:t xml:space="preserve">- </w:t>
      </w:r>
      <w:r>
        <w:rPr>
          <w:rStyle w:val="CharStyle12"/>
          <w:i/>
          <w:iCs/>
        </w:rPr>
        <w:t>реестровая запись).</w:t>
      </w:r>
    </w:p>
    <w:p>
      <w:pPr>
        <w:pStyle w:val="Style11"/>
        <w:keepNext w:val="0"/>
        <w:keepLines w:val="0"/>
        <w:widowControl w:val="0"/>
        <w:shd w:val="clear" w:color="auto" w:fill="auto"/>
        <w:bidi w:val="0"/>
        <w:spacing w:before="0" w:after="0"/>
        <w:ind w:left="0" w:right="0" w:firstLine="760"/>
        <w:jc w:val="both"/>
      </w:pPr>
      <w:r>
        <w:rPr>
          <w:rStyle w:val="CharStyle12"/>
          <w:i/>
          <w:iCs/>
        </w:rPr>
        <w:t>Таким образом, действующим законодательством предусмотрено, что сведениями, подтверждающими возможность оборота на территории Российской Федерации медицинского изделия, являются сведения о реестровой записи медицинского изделия в реестре медицинских изделий.</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В соответствии с подпунктом «г» пункта </w:t>
      </w:r>
      <w:r>
        <w:rPr>
          <w:rStyle w:val="CharStyle12"/>
          <w:i/>
          <w:iCs/>
          <w:lang w:val="en-US" w:eastAsia="en-US"/>
        </w:rPr>
        <w:t xml:space="preserve">65, </w:t>
      </w:r>
      <w:r>
        <w:rPr>
          <w:rStyle w:val="CharStyle12"/>
          <w:i/>
          <w:iCs/>
        </w:rPr>
        <w:t xml:space="preserve">подпунктом «г» пункта </w:t>
      </w:r>
      <w:r>
        <w:rPr>
          <w:rStyle w:val="CharStyle12"/>
          <w:i/>
          <w:iCs/>
          <w:lang w:val="en-US" w:eastAsia="en-US"/>
        </w:rPr>
        <w:t xml:space="preserve">87 </w:t>
      </w:r>
      <w:r>
        <w:rPr>
          <w:rStyle w:val="CharStyle12"/>
          <w:i/>
          <w:iCs/>
        </w:rPr>
        <w:t xml:space="preserve">Постановления </w:t>
      </w:r>
      <w:r>
        <w:rPr>
          <w:rStyle w:val="CharStyle12"/>
          <w:i/>
          <w:iCs/>
          <w:lang w:val="en-US" w:eastAsia="en-US"/>
        </w:rPr>
        <w:t xml:space="preserve">№ 1684 </w:t>
      </w:r>
      <w:r>
        <w:rPr>
          <w:rStyle w:val="CharStyle12"/>
          <w:i/>
          <w:iCs/>
        </w:rPr>
        <w:t>для государственной регистрации медицинского изделия представляются в том числе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1"/>
        <w:keepNext w:val="0"/>
        <w:keepLines w:val="0"/>
        <w:widowControl w:val="0"/>
        <w:shd w:val="clear" w:color="auto" w:fill="auto"/>
        <w:bidi w:val="0"/>
        <w:spacing w:before="0" w:after="0"/>
        <w:ind w:left="0" w:right="0" w:firstLine="760"/>
        <w:jc w:val="both"/>
      </w:pPr>
      <w:r>
        <w:rPr>
          <w:rStyle w:val="CharStyle12"/>
          <w:i/>
          <w:iCs/>
        </w:rPr>
        <w:t>На основании изложенного актуальные сведения в отношении медицинских изделий, разрешенных к обращению на территории Российской Федерации, отражены в реестровой записи и инструкции по применению (руководстве по эксплуатации) медицинских изделий, содержащихся в государственном реестре медицинских изделий.</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Таким образом, в силу положений части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38 </w:t>
      </w:r>
      <w:r>
        <w:rPr>
          <w:rStyle w:val="CharStyle12"/>
          <w:i/>
          <w:iCs/>
        </w:rPr>
        <w:t xml:space="preserve">Закона </w:t>
      </w:r>
      <w:r>
        <w:rPr>
          <w:rStyle w:val="CharStyle12"/>
          <w:i/>
          <w:iCs/>
          <w:lang w:val="en-US" w:eastAsia="en-US"/>
        </w:rPr>
        <w:t xml:space="preserve">№ </w:t>
      </w:r>
      <w:r>
        <w:rPr>
          <w:rStyle w:val="CharStyle12"/>
          <w:i/>
          <w:iCs/>
        </w:rPr>
        <w:t>323-ФЗ и Правил регистрации медицинских изделий предложенный ООО «Ника» Комплекс для</w:t>
      </w:r>
    </w:p>
    <w:p>
      <w:pPr>
        <w:pStyle w:val="Style11"/>
        <w:keepNext w:val="0"/>
        <w:keepLines w:val="0"/>
        <w:widowControl w:val="0"/>
        <w:shd w:val="clear" w:color="auto" w:fill="auto"/>
        <w:bidi w:val="0"/>
        <w:spacing w:before="0" w:after="0"/>
        <w:ind w:left="0" w:right="0" w:firstLine="0"/>
        <w:jc w:val="both"/>
      </w:pPr>
      <w:r>
        <w:rPr>
          <w:rStyle w:val="CharStyle12"/>
          <w:i/>
          <w:iCs/>
        </w:rPr>
        <w:t xml:space="preserve">реабилитации навыков движений, баланса и осанки «БАЛФИТ» по ТУ </w:t>
      </w:r>
      <w:r>
        <w:rPr>
          <w:rStyle w:val="CharStyle12"/>
          <w:i/>
          <w:iCs/>
          <w:lang w:val="en-US" w:eastAsia="en-US"/>
        </w:rPr>
        <w:t>26.60.12-006</w:t>
        <w:softHyphen/>
        <w:t xml:space="preserve">63704475-2021, </w:t>
      </w:r>
      <w:r>
        <w:rPr>
          <w:rStyle w:val="CharStyle12"/>
          <w:i/>
          <w:iCs/>
        </w:rPr>
        <w:t xml:space="preserve">в варианте исполнения </w:t>
      </w:r>
      <w:r>
        <w:rPr>
          <w:rStyle w:val="CharStyle12"/>
          <w:i/>
          <w:iCs/>
          <w:lang w:val="en-US" w:eastAsia="en-US"/>
        </w:rPr>
        <w:t xml:space="preserve">2 </w:t>
      </w:r>
      <w:r>
        <w:rPr>
          <w:rStyle w:val="CharStyle12"/>
          <w:i/>
          <w:iCs/>
        </w:rPr>
        <w:t>может быть допущен к обращению на территории Российской Федерации в качестве медицинского изделия только в том составе, в котором он зарегистрирован в реестре медицинских изделий, то есть без балансплатформы, обеспечивающей эффект качания.</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Согласно письму ФАС России </w:t>
      </w:r>
      <w:r>
        <w:rPr>
          <w:rStyle w:val="CharStyle12"/>
          <w:i/>
          <w:iCs/>
          <w:lang w:val="en-US" w:eastAsia="en-US"/>
        </w:rPr>
        <w:t xml:space="preserve">№ </w:t>
      </w:r>
      <w:r>
        <w:rPr>
          <w:rStyle w:val="CharStyle12"/>
          <w:i/>
          <w:iCs/>
        </w:rPr>
        <w:t xml:space="preserve">ГР/48883/25 от </w:t>
      </w:r>
      <w:r>
        <w:rPr>
          <w:rStyle w:val="CharStyle12"/>
          <w:i/>
          <w:iCs/>
          <w:lang w:val="en-US" w:eastAsia="en-US"/>
        </w:rPr>
        <w:t xml:space="preserve">26.05.2025 </w:t>
      </w:r>
      <w:r>
        <w:rPr>
          <w:rStyle w:val="CharStyle12"/>
          <w:i/>
          <w:iCs/>
        </w:rPr>
        <w:t>актуальные сведения в отношении медицинских изделий, разрешенных к обращению на территории Российской Федерации, отражены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Сведения, представленные в заявках участников, следует сверять с приведенными в реестре сведениями. При этом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о контрактной системе предусмотрена документация о закупке) и Законом о контрактной системе. При этом ФАС России отмечает, что подтверждением соответствия характеристик описанию объекта закупки могут являться инструкции и документы на медицинское изделие, полученные любым иным способом, только в случае отсутствия отдельных характеристик закупаемого медицинского изделия в эксплуатационной документации, размещенной на сайте Росздравнадзора.</w:t>
      </w:r>
    </w:p>
    <w:p>
      <w:pPr>
        <w:pStyle w:val="Style11"/>
        <w:keepNext w:val="0"/>
        <w:keepLines w:val="0"/>
        <w:widowControl w:val="0"/>
        <w:shd w:val="clear" w:color="auto" w:fill="auto"/>
        <w:bidi w:val="0"/>
        <w:spacing w:before="0" w:after="0"/>
        <w:ind w:left="0" w:right="0" w:firstLine="760"/>
        <w:jc w:val="both"/>
      </w:pPr>
      <w:r>
        <w:rPr>
          <w:rStyle w:val="CharStyle12"/>
          <w:i/>
          <w:iCs/>
        </w:rPr>
        <w:t>Правомерность отклонения заявки участника закупки при выявлении аукционной комиссией недостоверных сведений подтверждается и практикой ФАС России:</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УФАС по Мурманской области в решении от </w:t>
      </w:r>
      <w:r>
        <w:rPr>
          <w:rStyle w:val="CharStyle12"/>
          <w:i/>
          <w:iCs/>
          <w:lang w:val="en-US" w:eastAsia="en-US"/>
        </w:rPr>
        <w:t xml:space="preserve">03 </w:t>
      </w:r>
      <w:r>
        <w:rPr>
          <w:rStyle w:val="CharStyle12"/>
          <w:i/>
          <w:iCs/>
        </w:rPr>
        <w:t xml:space="preserve">апреля </w:t>
      </w:r>
      <w:r>
        <w:rPr>
          <w:rStyle w:val="CharStyle12"/>
          <w:i/>
          <w:iCs/>
          <w:lang w:val="en-US" w:eastAsia="en-US"/>
        </w:rPr>
        <w:t xml:space="preserve">2026 </w:t>
      </w:r>
      <w:r>
        <w:rPr>
          <w:rStyle w:val="CharStyle12"/>
          <w:i/>
          <w:iCs/>
        </w:rPr>
        <w:t xml:space="preserve">г. по делу </w:t>
      </w:r>
      <w:r>
        <w:rPr>
          <w:rStyle w:val="CharStyle12"/>
          <w:i/>
          <w:iCs/>
          <w:lang w:val="en-US" w:eastAsia="en-US"/>
        </w:rPr>
        <w:t xml:space="preserve">№ 051/06/105-272/2026 </w:t>
      </w:r>
      <w:r>
        <w:rPr>
          <w:rStyle w:val="CharStyle12"/>
          <w:i/>
          <w:iCs/>
        </w:rPr>
        <w:t xml:space="preserve">приходит к выводу о том, что представленная в составе заявки реестровая запись из реестра российской продукции на Устройства весоизмерительные электронные «СТАБИЛОТРЕНАЖЕР» не соответствует медицинскому изделию Системы стабилографии с БОС весоизмерительные «МЕРА- СБм», указанному в регистрационном удостоверении, содержащемуся в составе заявки; в результате чего в действиях аукционной комиссии, признавшей такую заявку соответствующей, установлено нарушение пункта </w:t>
      </w:r>
      <w:r>
        <w:rPr>
          <w:rStyle w:val="CharStyle12"/>
          <w:i/>
          <w:iCs/>
          <w:lang w:val="en-US" w:eastAsia="en-US"/>
        </w:rPr>
        <w:t xml:space="preserve">4 </w:t>
      </w:r>
      <w:r>
        <w:rPr>
          <w:rStyle w:val="CharStyle12"/>
          <w:i/>
          <w:iCs/>
        </w:rPr>
        <w:t xml:space="preserve">части </w:t>
      </w:r>
      <w:r>
        <w:rPr>
          <w:rStyle w:val="CharStyle12"/>
          <w:i/>
          <w:iCs/>
          <w:lang w:val="en-US" w:eastAsia="en-US"/>
        </w:rPr>
        <w:t xml:space="preserve">12 </w:t>
      </w:r>
      <w:r>
        <w:rPr>
          <w:rStyle w:val="CharStyle12"/>
          <w:i/>
          <w:iCs/>
        </w:rPr>
        <w:t xml:space="preserve">статьи </w:t>
      </w:r>
      <w:r>
        <w:rPr>
          <w:rStyle w:val="CharStyle12"/>
          <w:i/>
          <w:iCs/>
          <w:lang w:val="en-US" w:eastAsia="en-US"/>
        </w:rPr>
        <w:t xml:space="preserve">48 </w:t>
      </w:r>
      <w:r>
        <w:rPr>
          <w:rStyle w:val="CharStyle12"/>
          <w:i/>
          <w:iCs/>
        </w:rPr>
        <w:t>Закона о контрактной системе.</w:t>
      </w:r>
    </w:p>
    <w:p>
      <w:pPr>
        <w:pStyle w:val="Style11"/>
        <w:keepNext w:val="0"/>
        <w:keepLines w:val="0"/>
        <w:widowControl w:val="0"/>
        <w:shd w:val="clear" w:color="auto" w:fill="auto"/>
        <w:bidi w:val="0"/>
        <w:spacing w:before="0" w:after="0"/>
        <w:ind w:left="0" w:right="0" w:firstLine="760"/>
        <w:jc w:val="both"/>
      </w:pPr>
      <w:r>
        <w:rPr>
          <w:rStyle w:val="CharStyle12"/>
          <w:i/>
          <w:iCs/>
        </w:rPr>
        <w:t xml:space="preserve">УФАС по Республике Тыва в решении от </w:t>
      </w:r>
      <w:r>
        <w:rPr>
          <w:rStyle w:val="CharStyle12"/>
          <w:i/>
          <w:iCs/>
          <w:lang w:val="en-US" w:eastAsia="en-US"/>
        </w:rPr>
        <w:t xml:space="preserve">15 </w:t>
      </w:r>
      <w:r>
        <w:rPr>
          <w:rStyle w:val="CharStyle12"/>
          <w:i/>
          <w:iCs/>
        </w:rPr>
        <w:t xml:space="preserve">мая </w:t>
      </w:r>
      <w:r>
        <w:rPr>
          <w:rStyle w:val="CharStyle12"/>
          <w:i/>
          <w:iCs/>
          <w:lang w:val="en-US" w:eastAsia="en-US"/>
        </w:rPr>
        <w:t xml:space="preserve">2025 </w:t>
      </w:r>
      <w:r>
        <w:rPr>
          <w:rStyle w:val="CharStyle12"/>
          <w:i/>
          <w:iCs/>
        </w:rPr>
        <w:t xml:space="preserve">г. по делу </w:t>
      </w:r>
      <w:r>
        <w:rPr>
          <w:rStyle w:val="CharStyle12"/>
          <w:i/>
          <w:iCs/>
          <w:lang w:val="en-US" w:eastAsia="en-US"/>
        </w:rPr>
        <w:t>№ 017/06/105</w:t>
        <w:softHyphen/>
        <w:t xml:space="preserve">242/2025 </w:t>
      </w:r>
      <w:r>
        <w:rPr>
          <w:rStyle w:val="CharStyle12"/>
          <w:i/>
          <w:iCs/>
        </w:rPr>
        <w:t xml:space="preserve">признала правомерными действия аукционной комиссии, признавшей несоответствующей заявку ООО «Неврокор» за предоставление недостоверной информации, так как в руководстве по эксплуатации на медицинское оборудование с регистрационным удостоверением от </w:t>
      </w:r>
      <w:r>
        <w:rPr>
          <w:rStyle w:val="CharStyle12"/>
          <w:i/>
          <w:iCs/>
          <w:lang w:val="en-US" w:eastAsia="en-US"/>
        </w:rPr>
        <w:t xml:space="preserve">19.11.2024 № </w:t>
      </w:r>
      <w:r>
        <w:rPr>
          <w:rStyle w:val="CharStyle12"/>
          <w:i/>
          <w:iCs/>
        </w:rPr>
        <w:t xml:space="preserve">РЗН </w:t>
      </w:r>
      <w:r>
        <w:rPr>
          <w:rStyle w:val="CharStyle12"/>
          <w:i/>
          <w:iCs/>
          <w:lang w:val="en-US" w:eastAsia="en-US"/>
        </w:rPr>
        <w:t xml:space="preserve">2024/23987 </w:t>
      </w:r>
      <w:r>
        <w:rPr>
          <w:rStyle w:val="CharStyle12"/>
          <w:i/>
          <w:iCs/>
        </w:rPr>
        <w:t>«Комплекс для</w:t>
      </w:r>
    </w:p>
    <w:p>
      <w:pPr>
        <w:pStyle w:val="Style11"/>
        <w:keepNext w:val="0"/>
        <w:keepLines w:val="0"/>
        <w:widowControl w:val="0"/>
        <w:shd w:val="clear" w:color="auto" w:fill="auto"/>
        <w:bidi w:val="0"/>
        <w:spacing w:before="0" w:after="0"/>
        <w:ind w:left="0" w:right="0" w:firstLine="0"/>
        <w:jc w:val="both"/>
      </w:pPr>
      <w:r>
        <w:rPr>
          <w:rStyle w:val="CharStyle12"/>
          <w:i/>
          <w:iCs/>
        </w:rPr>
        <w:t xml:space="preserve">тренировки и реабилитации опорно-двигательного аппарата и координационных способностей адаптационный с диагностическими возможностями «БАЛФИТ- Мобайл», указан «Предел допустимой погрешности определения координат центра давления </w:t>
      </w:r>
      <w:r>
        <w:rPr>
          <w:rStyle w:val="CharStyle12"/>
          <w:i/>
          <w:iCs/>
          <w:lang w:val="en-US" w:eastAsia="en-US"/>
        </w:rPr>
        <w:t xml:space="preserve">— </w:t>
      </w:r>
      <w:r>
        <w:rPr>
          <w:rStyle w:val="CharStyle12"/>
          <w:i/>
          <w:iCs/>
        </w:rPr>
        <w:t xml:space="preserve">не более </w:t>
      </w:r>
      <w:r>
        <w:rPr>
          <w:rStyle w:val="CharStyle12"/>
          <w:i/>
          <w:iCs/>
          <w:lang w:val="en-US" w:eastAsia="en-US"/>
        </w:rPr>
        <w:t xml:space="preserve">2 </w:t>
      </w:r>
      <w:r>
        <w:rPr>
          <w:rStyle w:val="CharStyle12"/>
          <w:i/>
          <w:iCs/>
        </w:rPr>
        <w:t xml:space="preserve">мм», следовательно, указанная в заявке ООО «Неврокор» характеристика «Абсолютная погрешность определения координат центра давления» со значением </w:t>
      </w:r>
      <w:r>
        <w:rPr>
          <w:rStyle w:val="CharStyle12"/>
          <w:i/>
          <w:iCs/>
          <w:lang w:val="en-US" w:eastAsia="en-US"/>
        </w:rPr>
        <w:t xml:space="preserve">«1» </w:t>
      </w:r>
      <w:r>
        <w:rPr>
          <w:rStyle w:val="CharStyle12"/>
          <w:i/>
          <w:iCs/>
        </w:rPr>
        <w:t>противоречит сведениям, указанным в руководстве по эксплуатации</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Исследовав обстоятельства дела и пояснения сторон, Комиссия при принятии решения руководствовалась следующим.</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части </w:t>
      </w:r>
      <w:r>
        <w:rPr>
          <w:rStyle w:val="CharStyle12"/>
          <w:lang w:val="en-US" w:eastAsia="en-US"/>
        </w:rPr>
        <w:t xml:space="preserve">1 </w:t>
      </w:r>
      <w:r>
        <w:rPr>
          <w:rStyle w:val="CharStyle12"/>
        </w:rPr>
        <w:t xml:space="preserve">статьи </w:t>
      </w:r>
      <w:r>
        <w:rPr>
          <w:rStyle w:val="CharStyle12"/>
          <w:lang w:val="en-US" w:eastAsia="en-US"/>
        </w:rPr>
        <w:t xml:space="preserve">49 </w:t>
      </w:r>
      <w:r>
        <w:rPr>
          <w:rStyle w:val="CharStyle12"/>
        </w:rPr>
        <w:t xml:space="preserve">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2"/>
          <w:lang w:val="en-US" w:eastAsia="en-US"/>
        </w:rPr>
        <w:t xml:space="preserve">- </w:t>
      </w:r>
      <w:r>
        <w:rPr>
          <w:rStyle w:val="CharStyle12"/>
        </w:rPr>
        <w:t xml:space="preserve">«п» пункта </w:t>
      </w:r>
      <w:r>
        <w:rPr>
          <w:rStyle w:val="CharStyle12"/>
          <w:lang w:val="en-US" w:eastAsia="en-US"/>
        </w:rPr>
        <w:t xml:space="preserve">1, </w:t>
      </w:r>
      <w:r>
        <w:rPr>
          <w:rStyle w:val="CharStyle12"/>
        </w:rPr>
        <w:t xml:space="preserve">подпунктами «а» </w:t>
      </w:r>
      <w:r>
        <w:rPr>
          <w:rStyle w:val="CharStyle12"/>
          <w:lang w:val="en-US" w:eastAsia="en-US"/>
        </w:rPr>
        <w:t xml:space="preserve">- </w:t>
      </w:r>
      <w:r>
        <w:rPr>
          <w:rStyle w:val="CharStyle12"/>
        </w:rPr>
        <w:t xml:space="preserve">«в» пункта </w:t>
      </w:r>
      <w:r>
        <w:rPr>
          <w:rStyle w:val="CharStyle12"/>
          <w:lang w:val="en-US" w:eastAsia="en-US"/>
        </w:rPr>
        <w:t xml:space="preserve">2, </w:t>
      </w:r>
      <w:r>
        <w:rPr>
          <w:rStyle w:val="CharStyle12"/>
        </w:rPr>
        <w:t xml:space="preserve">пунктом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настоящего Федерального закона. Заявка также может содержать информацию и документы, предусмотренные подпунктом «д»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настоящего Федерального закона.</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части </w:t>
      </w:r>
      <w:r>
        <w:rPr>
          <w:rStyle w:val="CharStyle12"/>
          <w:lang w:val="en-US" w:eastAsia="en-US"/>
        </w:rPr>
        <w:t xml:space="preserve">5 </w:t>
      </w:r>
      <w:r>
        <w:rPr>
          <w:rStyle w:val="CharStyle12"/>
        </w:rPr>
        <w:t xml:space="preserve">статьи </w:t>
      </w:r>
      <w:r>
        <w:rPr>
          <w:rStyle w:val="CharStyle12"/>
          <w:lang w:val="en-US" w:eastAsia="en-US"/>
        </w:rPr>
        <w:t xml:space="preserve">49 </w:t>
      </w:r>
      <w:r>
        <w:rPr>
          <w:rStyle w:val="CharStyle12"/>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7"/>
        </w:numPr>
        <w:shd w:val="clear" w:color="auto" w:fill="auto"/>
        <w:tabs>
          <w:tab w:pos="1096" w:val="left"/>
        </w:tabs>
        <w:bidi w:val="0"/>
        <w:spacing w:before="0" w:after="0"/>
        <w:ind w:left="0" w:right="0" w:firstLine="740"/>
        <w:jc w:val="both"/>
      </w:pPr>
      <w:r>
        <w:rPr>
          <w:rStyle w:val="CharStyle12"/>
        </w:rPr>
        <w:t>члены комиссии по осуществлению закупок:</w:t>
      </w:r>
    </w:p>
    <w:p>
      <w:pPr>
        <w:pStyle w:val="Style11"/>
        <w:keepNext w:val="0"/>
        <w:keepLines w:val="0"/>
        <w:widowControl w:val="0"/>
        <w:numPr>
          <w:ilvl w:val="0"/>
          <w:numId w:val="9"/>
        </w:numPr>
        <w:shd w:val="clear" w:color="auto" w:fill="auto"/>
        <w:tabs>
          <w:tab w:pos="1061" w:val="left"/>
        </w:tabs>
        <w:bidi w:val="0"/>
        <w:spacing w:before="0" w:after="0"/>
        <w:ind w:left="0" w:right="0" w:firstLine="740"/>
        <w:jc w:val="both"/>
      </w:pPr>
      <w:r>
        <w:rPr>
          <w:rStyle w:val="CharStyle12"/>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2"/>
          <w:lang w:val="en-US" w:eastAsia="en-US"/>
        </w:rPr>
        <w:t xml:space="preserve">4 </w:t>
      </w:r>
      <w:r>
        <w:rPr>
          <w:rStyle w:val="CharStyle12"/>
        </w:rPr>
        <w:t xml:space="preserve">части </w:t>
      </w:r>
      <w:r>
        <w:rPr>
          <w:rStyle w:val="CharStyle12"/>
          <w:lang w:val="en-US" w:eastAsia="en-US"/>
        </w:rPr>
        <w:t xml:space="preserve">4 </w:t>
      </w:r>
      <w:r>
        <w:rPr>
          <w:rStyle w:val="CharStyle12"/>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2"/>
          <w:lang w:val="en-US" w:eastAsia="en-US"/>
        </w:rPr>
        <w:t xml:space="preserve">1 - 8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настоящего Федерального закона;</w:t>
      </w:r>
    </w:p>
    <w:p>
      <w:pPr>
        <w:pStyle w:val="Style11"/>
        <w:keepNext w:val="0"/>
        <w:keepLines w:val="0"/>
        <w:widowControl w:val="0"/>
        <w:numPr>
          <w:ilvl w:val="0"/>
          <w:numId w:val="9"/>
        </w:numPr>
        <w:shd w:val="clear" w:color="auto" w:fill="auto"/>
        <w:tabs>
          <w:tab w:pos="1066" w:val="left"/>
        </w:tabs>
        <w:bidi w:val="0"/>
        <w:spacing w:before="0" w:after="0"/>
        <w:ind w:left="0" w:right="0" w:firstLine="740"/>
        <w:jc w:val="both"/>
      </w:pPr>
      <w:r>
        <w:rPr>
          <w:rStyle w:val="CharStyle12"/>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2"/>
          <w:lang w:val="en-US" w:eastAsia="en-US"/>
        </w:rPr>
        <w:t xml:space="preserve">9 </w:t>
      </w:r>
      <w:r>
        <w:rPr>
          <w:rStyle w:val="CharStyle12"/>
        </w:rPr>
        <w:t xml:space="preserve">части </w:t>
      </w:r>
      <w:r>
        <w:rPr>
          <w:rStyle w:val="CharStyle12"/>
          <w:lang w:val="en-US" w:eastAsia="en-US"/>
        </w:rPr>
        <w:t xml:space="preserve">3 </w:t>
      </w:r>
      <w:r>
        <w:rPr>
          <w:rStyle w:val="CharStyle12"/>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2"/>
          <w:lang w:val="en-US" w:eastAsia="en-US"/>
        </w:rPr>
        <w:t xml:space="preserve">9 </w:t>
      </w:r>
      <w:r>
        <w:rPr>
          <w:rStyle w:val="CharStyle12"/>
        </w:rPr>
        <w:t xml:space="preserve">части </w:t>
      </w:r>
      <w:r>
        <w:rPr>
          <w:rStyle w:val="CharStyle12"/>
          <w:lang w:val="en-US" w:eastAsia="en-US"/>
        </w:rPr>
        <w:t xml:space="preserve">3 </w:t>
      </w:r>
      <w:r>
        <w:rPr>
          <w:rStyle w:val="CharStyle12"/>
        </w:rPr>
        <w:t>настоящей статьи присваиваются в порядке убывания размера ценового предложения участника</w:t>
      </w:r>
    </w:p>
    <w:p>
      <w:pPr>
        <w:pStyle w:val="Style11"/>
        <w:keepNext w:val="0"/>
        <w:keepLines w:val="0"/>
        <w:widowControl w:val="0"/>
        <w:shd w:val="clear" w:color="auto" w:fill="auto"/>
        <w:bidi w:val="0"/>
        <w:spacing w:before="0" w:after="0"/>
        <w:ind w:left="0" w:right="0" w:firstLine="0"/>
        <w:jc w:val="both"/>
      </w:pPr>
      <w:r>
        <w:rPr>
          <w:rStyle w:val="CharStyle12"/>
        </w:rPr>
        <w:t xml:space="preserve">закупки), и с учетом положений нормативных правовых актов, принятых в соответствии со статьей </w:t>
      </w:r>
      <w:r>
        <w:rPr>
          <w:rStyle w:val="CharStyle12"/>
          <w:lang w:val="en-US" w:eastAsia="en-US"/>
        </w:rPr>
        <w:t xml:space="preserve">14 </w:t>
      </w:r>
      <w:r>
        <w:rPr>
          <w:rStyle w:val="CharStyle12"/>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7"/>
        </w:numPr>
        <w:shd w:val="clear" w:color="auto" w:fill="auto"/>
        <w:tabs>
          <w:tab w:pos="1099" w:val="left"/>
        </w:tabs>
        <w:bidi w:val="0"/>
        <w:spacing w:before="0" w:after="0"/>
        <w:ind w:left="0" w:right="0" w:firstLine="740"/>
        <w:jc w:val="both"/>
      </w:pPr>
      <w:r>
        <w:rPr>
          <w:rStyle w:val="CharStyle12"/>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2"/>
          <w:lang w:val="en-US" w:eastAsia="en-US"/>
        </w:rPr>
        <w:t xml:space="preserve">1, 2, 4 - 7 </w:t>
      </w:r>
      <w:r>
        <w:rPr>
          <w:rStyle w:val="CharStyle12"/>
        </w:rPr>
        <w:t xml:space="preserve">части </w:t>
      </w:r>
      <w:r>
        <w:rPr>
          <w:rStyle w:val="CharStyle12"/>
          <w:lang w:val="en-US" w:eastAsia="en-US"/>
        </w:rPr>
        <w:t xml:space="preserve">17 </w:t>
      </w:r>
      <w:r>
        <w:rPr>
          <w:rStyle w:val="CharStyle12"/>
        </w:rPr>
        <w:t xml:space="preserve">статьи </w:t>
      </w:r>
      <w:r>
        <w:rPr>
          <w:rStyle w:val="CharStyle12"/>
          <w:lang w:val="en-US" w:eastAsia="en-US"/>
        </w:rPr>
        <w:t xml:space="preserve">48 </w:t>
      </w:r>
      <w:r>
        <w:rPr>
          <w:rStyle w:val="CharStyle12"/>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пункту </w:t>
      </w:r>
      <w:r>
        <w:rPr>
          <w:rStyle w:val="CharStyle12"/>
          <w:lang w:val="en-US" w:eastAsia="en-US"/>
        </w:rPr>
        <w:t xml:space="preserve">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23.04.2026 </w:t>
      </w:r>
      <w:r>
        <w:rPr>
          <w:rStyle w:val="CharStyle12"/>
        </w:rPr>
        <w:t xml:space="preserve">№ИЭА1 заявка </w:t>
      </w:r>
      <w:r>
        <w:rPr>
          <w:rStyle w:val="CharStyle12"/>
          <w:lang w:val="en-US" w:eastAsia="en-US"/>
        </w:rPr>
        <w:t xml:space="preserve">№ 121032167 </w:t>
      </w:r>
      <w:r>
        <w:rPr>
          <w:rStyle w:val="CharStyle12"/>
        </w:rPr>
        <w:t>отклонена закупочной комиссией по следующему основанию: «</w:t>
      </w:r>
      <w:r>
        <w:rPr>
          <w:rStyle w:val="CharStyle12"/>
          <w:i/>
          <w:iCs/>
        </w:rPr>
        <w:t xml:space="preserve">Выявление недостоверной информации, содержащейся в заявке на участие в закупке (Отклонение по п. </w:t>
      </w:r>
      <w:r>
        <w:rPr>
          <w:rStyle w:val="CharStyle12"/>
          <w:i/>
          <w:iCs/>
          <w:lang w:val="en-US" w:eastAsia="en-US"/>
        </w:rPr>
        <w:t xml:space="preserve">8 </w:t>
      </w:r>
      <w:r>
        <w:rPr>
          <w:rStyle w:val="CharStyle12"/>
          <w:i/>
          <w:iCs/>
        </w:rPr>
        <w:t xml:space="preserve">ч. </w:t>
      </w:r>
      <w:r>
        <w:rPr>
          <w:rStyle w:val="CharStyle12"/>
          <w:i/>
          <w:iCs/>
          <w:lang w:val="en-US" w:eastAsia="en-US"/>
        </w:rPr>
        <w:t xml:space="preserve">12 </w:t>
      </w:r>
      <w:r>
        <w:rPr>
          <w:rStyle w:val="CharStyle12"/>
          <w:i/>
          <w:iCs/>
        </w:rPr>
        <w:t xml:space="preserve">ст. </w:t>
      </w:r>
      <w:r>
        <w:rPr>
          <w:rStyle w:val="CharStyle12"/>
          <w:i/>
          <w:iCs/>
          <w:lang w:val="en-US" w:eastAsia="en-US"/>
        </w:rPr>
        <w:t xml:space="preserve">48 </w:t>
      </w:r>
      <w:r>
        <w:rPr>
          <w:rStyle w:val="CharStyle12"/>
          <w:i/>
          <w:iCs/>
        </w:rPr>
        <w:t xml:space="preserve">Закона </w:t>
      </w:r>
      <w:r>
        <w:rPr>
          <w:rStyle w:val="CharStyle12"/>
          <w:i/>
          <w:iCs/>
          <w:lang w:val="en-US" w:eastAsia="en-US"/>
        </w:rPr>
        <w:t xml:space="preserve">№ </w:t>
      </w:r>
      <w:r>
        <w:rPr>
          <w:rStyle w:val="CharStyle12"/>
          <w:i/>
          <w:iCs/>
        </w:rPr>
        <w:t>44-ФЗ)</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 xml:space="preserve">Как пояснил Заказчик при рассмотрении настоящего дела, заявка </w:t>
      </w:r>
      <w:r>
        <w:rPr>
          <w:rStyle w:val="CharStyle12"/>
          <w:lang w:val="en-US" w:eastAsia="en-US"/>
        </w:rPr>
        <w:t xml:space="preserve">№ 121032167 </w:t>
      </w:r>
      <w:r>
        <w:rPr>
          <w:rStyle w:val="CharStyle12"/>
        </w:rPr>
        <w:t xml:space="preserve">подлежала отклонению ввиду несоответствия характеристик, указанных в реестровой записи из РРПП </w:t>
      </w:r>
      <w:r>
        <w:rPr>
          <w:rStyle w:val="CharStyle12"/>
          <w:lang w:val="en-US" w:eastAsia="en-US"/>
        </w:rPr>
        <w:t xml:space="preserve">№ 10636738 </w:t>
      </w:r>
      <w:r>
        <w:rPr>
          <w:rStyle w:val="CharStyle12"/>
        </w:rPr>
        <w:t xml:space="preserve">(«Комплекс для диагностики и реабилитации навыков баланса, осанки и движений «БАЛФИТ» по ТУ </w:t>
      </w:r>
      <w:r>
        <w:rPr>
          <w:rStyle w:val="CharStyle12"/>
          <w:lang w:val="en-US" w:eastAsia="en-US"/>
        </w:rPr>
        <w:t>26.60.12-006</w:t>
        <w:softHyphen/>
        <w:t xml:space="preserve">63704475-2021, </w:t>
      </w:r>
      <w:r>
        <w:rPr>
          <w:rStyle w:val="CharStyle12"/>
        </w:rPr>
        <w:t xml:space="preserve">исполнение </w:t>
      </w:r>
      <w:r>
        <w:rPr>
          <w:rStyle w:val="CharStyle12"/>
          <w:lang w:val="en-US" w:eastAsia="en-US"/>
        </w:rPr>
        <w:t xml:space="preserve">2) </w:t>
      </w:r>
      <w:r>
        <w:rPr>
          <w:rStyle w:val="CharStyle12"/>
        </w:rPr>
        <w:t>требованиям технического задания Закупки.</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подпунктом «а»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части </w:t>
      </w:r>
      <w:r>
        <w:rPr>
          <w:rStyle w:val="CharStyle12"/>
          <w:lang w:val="en-US" w:eastAsia="en-US"/>
        </w:rPr>
        <w:t xml:space="preserve">2 </w:t>
      </w:r>
      <w:r>
        <w:rPr>
          <w:rStyle w:val="CharStyle12"/>
        </w:rPr>
        <w:t xml:space="preserve">статьи </w:t>
      </w:r>
      <w:r>
        <w:rPr>
          <w:rStyle w:val="CharStyle12"/>
          <w:lang w:val="en-US" w:eastAsia="en-US"/>
        </w:rPr>
        <w:t xml:space="preserve">43 </w:t>
      </w:r>
      <w:r>
        <w:rPr>
          <w:rStyle w:val="CharStyle12"/>
        </w:rPr>
        <w:t xml:space="preserve">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40"/>
        <w:jc w:val="both"/>
      </w:pPr>
      <w:r>
        <w:rPr>
          <w:rStyle w:val="CharStyle12"/>
        </w:rPr>
        <w:t xml:space="preserve">При этом Заказчиком в рамках требований статьи </w:t>
      </w:r>
      <w:r>
        <w:rPr>
          <w:rStyle w:val="CharStyle12"/>
          <w:lang w:val="en-US" w:eastAsia="en-US"/>
        </w:rPr>
        <w:t xml:space="preserve">14 </w:t>
      </w:r>
      <w:r>
        <w:rPr>
          <w:rStyle w:val="CharStyle12"/>
        </w:rPr>
        <w:t xml:space="preserve">Закона о контрактной системе, постановления Правительства РФ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Постановление</w:t>
      </w:r>
    </w:p>
    <w:p>
      <w:pPr>
        <w:pStyle w:val="Style11"/>
        <w:keepNext w:val="0"/>
        <w:keepLines w:val="0"/>
        <w:widowControl w:val="0"/>
        <w:shd w:val="clear" w:color="auto" w:fill="auto"/>
        <w:bidi w:val="0"/>
        <w:spacing w:before="0" w:after="0"/>
        <w:ind w:left="0" w:right="0" w:firstLine="0"/>
        <w:jc w:val="both"/>
      </w:pPr>
      <w:r>
        <w:rPr>
          <w:rStyle w:val="CharStyle12"/>
          <w:lang w:val="en-US" w:eastAsia="en-US"/>
        </w:rPr>
        <w:t xml:space="preserve">№ 1875) </w:t>
      </w:r>
      <w:r>
        <w:rPr>
          <w:rStyle w:val="CharStyle12"/>
        </w:rPr>
        <w:t xml:space="preserve">установлена защитная мера в виде «ограничения» (объект закупки </w:t>
      </w:r>
      <w:r>
        <w:rPr>
          <w:rStyle w:val="CharStyle12"/>
          <w:lang w:val="en-US" w:eastAsia="en-US"/>
        </w:rPr>
        <w:t xml:space="preserve">– </w:t>
      </w:r>
      <w:r>
        <w:rPr>
          <w:rStyle w:val="CharStyle12"/>
        </w:rPr>
        <w:t xml:space="preserve">«Система стабилографии», ОКПД2 </w:t>
      </w:r>
      <w:r>
        <w:rPr>
          <w:rStyle w:val="CharStyle12"/>
          <w:lang w:val="en-US" w:eastAsia="en-US"/>
        </w:rPr>
        <w:t>26.60.12.129).</w:t>
      </w:r>
    </w:p>
    <w:p>
      <w:pPr>
        <w:pStyle w:val="Style11"/>
        <w:keepNext w:val="0"/>
        <w:keepLines w:val="0"/>
        <w:widowControl w:val="0"/>
        <w:shd w:val="clear" w:color="auto" w:fill="auto"/>
        <w:bidi w:val="0"/>
        <w:spacing w:before="0" w:after="0"/>
        <w:ind w:left="0" w:right="0" w:firstLine="720"/>
        <w:jc w:val="both"/>
      </w:pPr>
      <w:r>
        <w:rPr>
          <w:rStyle w:val="CharStyle12"/>
        </w:rPr>
        <w:t xml:space="preserve">В силу положений подпункта «а» пункта </w:t>
      </w:r>
      <w:r>
        <w:rPr>
          <w:rStyle w:val="CharStyle12"/>
          <w:lang w:val="en-US" w:eastAsia="en-US"/>
        </w:rPr>
        <w:t xml:space="preserve">3 </w:t>
      </w:r>
      <w:r>
        <w:rPr>
          <w:rStyle w:val="CharStyle12"/>
        </w:rPr>
        <w:t xml:space="preserve">Постановления </w:t>
      </w:r>
      <w:r>
        <w:rPr>
          <w:rStyle w:val="CharStyle12"/>
          <w:lang w:val="en-US" w:eastAsia="en-US"/>
        </w:rPr>
        <w:t xml:space="preserve">№ 1875 </w:t>
      </w:r>
      <w:r>
        <w:rPr>
          <w:rStyle w:val="CharStyle12"/>
        </w:rPr>
        <w:t xml:space="preserve">подтверждением происхождения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 xml:space="preserve">к Постановлению </w:t>
      </w:r>
      <w:r>
        <w:rPr>
          <w:rStyle w:val="CharStyle12"/>
          <w:lang w:val="en-US" w:eastAsia="en-US"/>
        </w:rPr>
        <w:t xml:space="preserve">№ 1875, </w:t>
      </w:r>
      <w:r>
        <w:rPr>
          <w:rStyle w:val="CharStyle12"/>
        </w:rPr>
        <w:t xml:space="preserve">из Российской Федерации является номер реестровой записи из реестра российской промышленной продукции, предусмотренного статьей </w:t>
      </w:r>
      <w:r>
        <w:rPr>
          <w:rStyle w:val="CharStyle12"/>
          <w:lang w:val="en-US" w:eastAsia="en-US"/>
        </w:rPr>
        <w:t xml:space="preserve">17.1 </w:t>
      </w:r>
      <w:r>
        <w:rPr>
          <w:rStyle w:val="CharStyle12"/>
        </w:rPr>
        <w:t xml:space="preserve">Федерального закона от </w:t>
      </w:r>
      <w:r>
        <w:rPr>
          <w:rStyle w:val="CharStyle12"/>
          <w:lang w:val="en-US" w:eastAsia="en-US"/>
        </w:rPr>
        <w:t xml:space="preserve">31.12.2014 № </w:t>
      </w:r>
      <w:r>
        <w:rPr>
          <w:rStyle w:val="CharStyle12"/>
        </w:rPr>
        <w:t xml:space="preserve">488-ФЗ «О промышленной политике в Российской Федерации» (далее </w:t>
      </w:r>
      <w:r>
        <w:rPr>
          <w:rStyle w:val="CharStyle12"/>
          <w:lang w:val="en-US" w:eastAsia="en-US"/>
        </w:rPr>
        <w:t xml:space="preserve">- </w:t>
      </w:r>
      <w:r>
        <w:rPr>
          <w:rStyle w:val="CharStyle12"/>
        </w:rPr>
        <w:t xml:space="preserve">Закон </w:t>
      </w:r>
      <w:r>
        <w:rPr>
          <w:rStyle w:val="CharStyle12"/>
          <w:lang w:val="en-US" w:eastAsia="en-US"/>
        </w:rPr>
        <w:t xml:space="preserve">№ </w:t>
      </w:r>
      <w:r>
        <w:rPr>
          <w:rStyle w:val="CharStyle12"/>
        </w:rPr>
        <w:t xml:space="preserve">488-ФЗ, 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2"/>
          <w:lang w:val="en-US" w:eastAsia="en-US"/>
        </w:rPr>
        <w:t xml:space="preserve">1 </w:t>
      </w:r>
      <w:r>
        <w:rPr>
          <w:rStyle w:val="CharStyle12"/>
        </w:rPr>
        <w:t xml:space="preserve">постановления Правительства Российской Федерации от </w:t>
      </w:r>
      <w:r>
        <w:rPr>
          <w:rStyle w:val="CharStyle12"/>
          <w:lang w:val="en-US" w:eastAsia="en-US"/>
        </w:rPr>
        <w:t xml:space="preserve">17.07.2015 № 719 </w:t>
      </w:r>
      <w:r>
        <w:rPr>
          <w:rStyle w:val="CharStyle12"/>
        </w:rPr>
        <w:t xml:space="preserve">«О подтверждении производства российской промышленной продукции»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719), </w:t>
      </w:r>
      <w:r>
        <w:rPr>
          <w:rStyle w:val="CharStyle12"/>
        </w:rPr>
        <w:t xml:space="preserve">или номер реестровой записи из Реестра российской промышленной продукции (далее </w:t>
      </w:r>
      <w:r>
        <w:rPr>
          <w:rStyle w:val="CharStyle12"/>
          <w:lang w:val="en-US" w:eastAsia="en-US"/>
        </w:rPr>
        <w:t xml:space="preserve">– </w:t>
      </w:r>
      <w:r>
        <w:rPr>
          <w:rStyle w:val="CharStyle12"/>
        </w:rPr>
        <w:t xml:space="preserve">РРПП),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w:t>
      </w:r>
      <w:r>
        <w:rPr>
          <w:rStyle w:val="CharStyle12"/>
          <w:lang w:val="en-US" w:eastAsia="en-US"/>
        </w:rPr>
        <w:t xml:space="preserve">№ 719 </w:t>
      </w:r>
      <w:r>
        <w:rPr>
          <w:rStyle w:val="CharStyle12"/>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w:t>
      </w:r>
      <w:r>
        <w:rPr>
          <w:rStyle w:val="CharStyle12"/>
          <w:lang w:val="en-US" w:eastAsia="en-US"/>
        </w:rPr>
        <w:t xml:space="preserve">№ 719, </w:t>
      </w:r>
      <w:r>
        <w:rPr>
          <w:rStyle w:val="CharStyle12"/>
        </w:rPr>
        <w:t xml:space="preserve">включая значение, определенное для целей осуществления закупок (если Постановлением </w:t>
      </w:r>
      <w:r>
        <w:rPr>
          <w:rStyle w:val="CharStyle12"/>
          <w:lang w:val="en-US" w:eastAsia="en-US"/>
        </w:rPr>
        <w:t xml:space="preserve">№ 719 </w:t>
      </w:r>
      <w:r>
        <w:rPr>
          <w:rStyle w:val="CharStyle12"/>
        </w:rPr>
        <w:t>в отношении такого товара определено значение для целей осуществления закупок).</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абзацем третьим подпункта «а» пункта </w:t>
      </w:r>
      <w:r>
        <w:rPr>
          <w:rStyle w:val="CharStyle12"/>
          <w:lang w:val="en-US" w:eastAsia="en-US"/>
        </w:rPr>
        <w:t xml:space="preserve">7 </w:t>
      </w:r>
      <w:r>
        <w:rPr>
          <w:rStyle w:val="CharStyle12"/>
        </w:rPr>
        <w:t xml:space="preserve">Постановления </w:t>
      </w:r>
      <w:r>
        <w:rPr>
          <w:rStyle w:val="CharStyle12"/>
          <w:lang w:val="en-US" w:eastAsia="en-US"/>
        </w:rPr>
        <w:t xml:space="preserve">№ 1875 </w:t>
      </w:r>
      <w:r>
        <w:rPr>
          <w:rStyle w:val="CharStyle12"/>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к настоящему постановлению,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w:t>
      </w:r>
    </w:p>
    <w:p>
      <w:pPr>
        <w:pStyle w:val="Style11"/>
        <w:keepNext w:val="0"/>
        <w:keepLines w:val="0"/>
        <w:widowControl w:val="0"/>
        <w:shd w:val="clear" w:color="auto" w:fill="auto"/>
        <w:bidi w:val="0"/>
        <w:spacing w:before="0" w:after="0"/>
        <w:ind w:left="0" w:right="0" w:firstLine="0"/>
        <w:jc w:val="both"/>
      </w:pPr>
      <w:r>
        <w:rPr>
          <w:rStyle w:val="CharStyle12"/>
        </w:rPr>
        <w:t xml:space="preserve">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(КПЕС </w:t>
      </w:r>
      <w:r>
        <w:rPr>
          <w:rStyle w:val="CharStyle12"/>
          <w:lang w:val="en-US" w:eastAsia="en-US"/>
        </w:rPr>
        <w:t xml:space="preserve">2008) </w:t>
      </w:r>
      <w:r>
        <w:rPr>
          <w:rStyle w:val="CharStyle12"/>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1"/>
        <w:keepNext w:val="0"/>
        <w:keepLines w:val="0"/>
        <w:widowControl w:val="0"/>
        <w:shd w:val="clear" w:color="auto" w:fill="auto"/>
        <w:bidi w:val="0"/>
        <w:spacing w:before="0" w:after="0"/>
        <w:ind w:left="0" w:right="0" w:firstLine="720"/>
        <w:jc w:val="both"/>
      </w:pPr>
      <w:r>
        <w:rPr>
          <w:rStyle w:val="CharStyle12"/>
        </w:rPr>
        <w:t xml:space="preserve">Так, Заказчиком в составе извещения о закупке в виде отдельного электронного документа продекларирован факт отсутствия в реестре российской промышленной продукции товара с характеристиками, соответствующими потребности заказчика, также в составе извещения о закупке размещена копия направленного до начала осуществления закупки уведомления в Министерство промышленности и торговли Российской Федерации </w:t>
      </w:r>
      <w:r>
        <w:rPr>
          <w:rStyle w:val="CharStyle12"/>
          <w:lang w:val="en-US" w:eastAsia="en-US"/>
        </w:rPr>
        <w:t xml:space="preserve">№ 1875/2/2026-04-06/501451 </w:t>
      </w:r>
      <w:r>
        <w:rPr>
          <w:rStyle w:val="CharStyle12"/>
        </w:rPr>
        <w:t>от 06.04.2026г.</w:t>
      </w:r>
    </w:p>
    <w:p>
      <w:pPr>
        <w:pStyle w:val="Style11"/>
        <w:keepNext w:val="0"/>
        <w:keepLines w:val="0"/>
        <w:widowControl w:val="0"/>
        <w:shd w:val="clear" w:color="auto" w:fill="auto"/>
        <w:bidi w:val="0"/>
        <w:spacing w:before="0" w:after="0"/>
        <w:ind w:left="0" w:right="0" w:firstLine="720"/>
        <w:jc w:val="both"/>
      </w:pPr>
      <w:r>
        <w:rPr>
          <w:rStyle w:val="CharStyle12"/>
        </w:rPr>
        <w:t xml:space="preserve">В абзаце третьем подпункта «з» пункта </w:t>
      </w:r>
      <w:r>
        <w:rPr>
          <w:rStyle w:val="CharStyle12"/>
          <w:lang w:val="en-US" w:eastAsia="en-US"/>
        </w:rPr>
        <w:t xml:space="preserve">3 </w:t>
      </w:r>
      <w:r>
        <w:rPr>
          <w:rStyle w:val="CharStyle12"/>
        </w:rPr>
        <w:t xml:space="preserve">Постановления </w:t>
      </w:r>
      <w:r>
        <w:rPr>
          <w:rStyle w:val="CharStyle12"/>
          <w:lang w:val="en-US" w:eastAsia="en-US"/>
        </w:rPr>
        <w:t xml:space="preserve">№ 1875 </w:t>
      </w:r>
      <w:r>
        <w:rPr>
          <w:rStyle w:val="CharStyle12"/>
        </w:rPr>
        <w:t xml:space="preserve">установлено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«б» пункта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43 </w:t>
      </w:r>
      <w:r>
        <w:rPr>
          <w:rStyle w:val="CharStyle12"/>
        </w:rPr>
        <w:t xml:space="preserve">указанного Федерального закона): для подтверждения происхождения товаров из Российской Федерации,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 xml:space="preserve">к настоящему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четвертым подпункта «а» пункта </w:t>
      </w:r>
      <w:r>
        <w:rPr>
          <w:rStyle w:val="CharStyle12"/>
          <w:lang w:val="en-US" w:eastAsia="en-US"/>
        </w:rPr>
        <w:t xml:space="preserve">7 </w:t>
      </w:r>
      <w:r>
        <w:rPr>
          <w:rStyle w:val="CharStyle12"/>
        </w:rPr>
        <w:t>настоящего постановления 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pPr>
        <w:pStyle w:val="Style11"/>
        <w:keepNext w:val="0"/>
        <w:keepLines w:val="0"/>
        <w:widowControl w:val="0"/>
        <w:shd w:val="clear" w:color="auto" w:fill="auto"/>
        <w:bidi w:val="0"/>
        <w:spacing w:before="0" w:after="0"/>
        <w:ind w:left="0" w:right="0" w:firstLine="720"/>
        <w:jc w:val="both"/>
      </w:pPr>
      <w:r>
        <w:rPr>
          <w:rStyle w:val="CharStyle12"/>
        </w:rPr>
        <w:t xml:space="preserve">Структурированная форма заявки </w:t>
      </w:r>
      <w:r>
        <w:rPr>
          <w:rStyle w:val="CharStyle12"/>
          <w:lang w:val="en-US" w:eastAsia="en-US"/>
        </w:rPr>
        <w:t xml:space="preserve">№ 121032167 </w:t>
      </w:r>
      <w:r>
        <w:rPr>
          <w:rStyle w:val="CharStyle12"/>
        </w:rPr>
        <w:t xml:space="preserve">содержит в себе указание на номер реестровой записи из РРПП </w:t>
      </w:r>
      <w:r>
        <w:rPr>
          <w:rStyle w:val="CharStyle12"/>
          <w:lang w:val="en-US" w:eastAsia="en-US"/>
        </w:rPr>
        <w:t xml:space="preserve">– 10636738 </w:t>
      </w:r>
      <w:r>
        <w:rPr>
          <w:rStyle w:val="CharStyle12"/>
        </w:rPr>
        <w:t xml:space="preserve">(«Комплекс для диагностики и реабилитации навыков баланса, осанки и движений «БАЛФИТ» по ТУ </w:t>
      </w:r>
      <w:r>
        <w:rPr>
          <w:rStyle w:val="CharStyle12"/>
          <w:lang w:val="en-US" w:eastAsia="en-US"/>
        </w:rPr>
        <w:t>26.60.12-006</w:t>
        <w:softHyphen/>
        <w:t xml:space="preserve">63704475-2021, </w:t>
      </w:r>
      <w:r>
        <w:rPr>
          <w:rStyle w:val="CharStyle12"/>
        </w:rPr>
        <w:t xml:space="preserve">исполнение </w:t>
      </w:r>
      <w:r>
        <w:rPr>
          <w:rStyle w:val="CharStyle12"/>
          <w:lang w:val="en-US" w:eastAsia="en-US"/>
        </w:rPr>
        <w:t xml:space="preserve">2), </w:t>
      </w:r>
      <w:r>
        <w:rPr>
          <w:rStyle w:val="CharStyle12"/>
        </w:rPr>
        <w:t xml:space="preserve">совокупное количество баллов </w:t>
      </w:r>
      <w:r>
        <w:rPr>
          <w:rStyle w:val="CharStyle12"/>
          <w:lang w:val="en-US" w:eastAsia="en-US"/>
        </w:rPr>
        <w:t>– 104,00.</w:t>
      </w:r>
    </w:p>
    <w:p>
      <w:pPr>
        <w:pStyle w:val="Style11"/>
        <w:keepNext w:val="0"/>
        <w:keepLines w:val="0"/>
        <w:widowControl w:val="0"/>
        <w:shd w:val="clear" w:color="auto" w:fill="auto"/>
        <w:bidi w:val="0"/>
        <w:spacing w:before="0" w:after="0"/>
        <w:ind w:left="0" w:right="0" w:firstLine="720"/>
        <w:jc w:val="both"/>
      </w:pPr>
      <w:r>
        <w:rPr>
          <w:rStyle w:val="CharStyle12"/>
        </w:rPr>
        <w:t>Комиссия считает необходимым отметить, что несоответствие информации о</w:t>
      </w:r>
    </w:p>
    <w:p>
      <w:pPr>
        <w:pStyle w:val="Style11"/>
        <w:keepNext w:val="0"/>
        <w:keepLines w:val="0"/>
        <w:widowControl w:val="0"/>
        <w:shd w:val="clear" w:color="auto" w:fill="auto"/>
        <w:bidi w:val="0"/>
        <w:spacing w:before="0" w:after="0"/>
        <w:ind w:left="0" w:right="0" w:firstLine="0"/>
        <w:jc w:val="both"/>
      </w:pPr>
      <w:r>
        <w:rPr>
          <w:rStyle w:val="CharStyle12"/>
        </w:rPr>
        <w:t>характеристиках в заявке участника данным, приведенным в реестре промышленной продукции, само по себе не является основанием для отклонения заявки.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письму Минпромторга России от </w:t>
      </w:r>
      <w:r>
        <w:rPr>
          <w:rStyle w:val="CharStyle12"/>
          <w:lang w:val="en-US" w:eastAsia="en-US"/>
        </w:rPr>
        <w:t xml:space="preserve">04.10.2023 № 106238/12 </w:t>
      </w:r>
      <w:r>
        <w:rPr>
          <w:rStyle w:val="CharStyle12"/>
        </w:rPr>
        <w:t>аукционной комиссии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Закона о контрактной системе, но при этом в каталоге ГИСП на указанную продукцию не содержится исчерпывающей информации, требуемой для удовлетворения положениям извещения.</w:t>
      </w:r>
    </w:p>
    <w:p>
      <w:pPr>
        <w:pStyle w:val="Style11"/>
        <w:keepNext w:val="0"/>
        <w:keepLines w:val="0"/>
        <w:widowControl w:val="0"/>
        <w:shd w:val="clear" w:color="auto" w:fill="auto"/>
        <w:bidi w:val="0"/>
        <w:spacing w:before="0" w:after="0"/>
        <w:ind w:left="0" w:right="0" w:firstLine="720"/>
        <w:jc w:val="both"/>
      </w:pPr>
      <w:r>
        <w:rPr>
          <w:rStyle w:val="CharStyle12"/>
        </w:rPr>
        <w:t>Определение фактического соответствия товара информации, в том числе указанной в выписке, осуществляется на этапе исполнения контракта в соответствии с положениями Закона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Информация из каталога ГИСП может содержать отличную информацию от той, которая была внесена в реестр, и носить ознакомительный характер.</w:t>
      </w:r>
    </w:p>
    <w:p>
      <w:pPr>
        <w:pStyle w:val="Style11"/>
        <w:keepNext w:val="0"/>
        <w:keepLines w:val="0"/>
        <w:widowControl w:val="0"/>
        <w:shd w:val="clear" w:color="auto" w:fill="auto"/>
        <w:bidi w:val="0"/>
        <w:spacing w:before="0" w:after="0"/>
        <w:ind w:left="0" w:right="0" w:firstLine="720"/>
        <w:jc w:val="both"/>
      </w:pPr>
      <w:r>
        <w:rPr>
          <w:rStyle w:val="CharStyle12"/>
        </w:rPr>
        <w:t xml:space="preserve">Целью указания реестровой записи является подтверждение страны происхождения производства, в связи с чем отклонение заявки исключительно в связи с несоответствием наименования продукции неправомерно (Определение ВС РФ от </w:t>
      </w:r>
      <w:r>
        <w:rPr>
          <w:rStyle w:val="CharStyle12"/>
          <w:lang w:val="en-US" w:eastAsia="en-US"/>
        </w:rPr>
        <w:t xml:space="preserve">27.01.2025 </w:t>
      </w:r>
      <w:r>
        <w:rPr>
          <w:rStyle w:val="CharStyle12"/>
        </w:rPr>
        <w:t xml:space="preserve">по делу </w:t>
      </w:r>
      <w:r>
        <w:rPr>
          <w:rStyle w:val="CharStyle12"/>
          <w:lang w:val="en-US" w:eastAsia="en-US"/>
        </w:rPr>
        <w:t xml:space="preserve">№ </w:t>
      </w:r>
      <w:r>
        <w:rPr>
          <w:rStyle w:val="CharStyle12"/>
        </w:rPr>
        <w:t xml:space="preserve">А75-22693/23, Постановление 9ААС от </w:t>
      </w:r>
      <w:r>
        <w:rPr>
          <w:rStyle w:val="CharStyle12"/>
          <w:lang w:val="en-US" w:eastAsia="en-US"/>
        </w:rPr>
        <w:t xml:space="preserve">03.02.2025 </w:t>
      </w:r>
      <w:r>
        <w:rPr>
          <w:rStyle w:val="CharStyle12"/>
        </w:rPr>
        <w:t xml:space="preserve">по делу </w:t>
      </w:r>
      <w:r>
        <w:rPr>
          <w:rStyle w:val="CharStyle12"/>
          <w:lang w:val="en-US" w:eastAsia="en-US"/>
        </w:rPr>
        <w:t xml:space="preserve">№ </w:t>
      </w:r>
      <w:r>
        <w:rPr>
          <w:rStyle w:val="CharStyle12"/>
        </w:rPr>
        <w:t>А40-85327/24).</w:t>
      </w:r>
    </w:p>
    <w:p>
      <w:pPr>
        <w:pStyle w:val="Style11"/>
        <w:keepNext w:val="0"/>
        <w:keepLines w:val="0"/>
        <w:widowControl w:val="0"/>
        <w:shd w:val="clear" w:color="auto" w:fill="auto"/>
        <w:bidi w:val="0"/>
        <w:spacing w:before="0" w:after="0"/>
        <w:ind w:left="0" w:right="0" w:firstLine="720"/>
        <w:jc w:val="both"/>
      </w:pPr>
      <w:r>
        <w:rPr>
          <w:rStyle w:val="CharStyle12"/>
        </w:rPr>
        <w:t>Следовательно, возможность установить несоответствие или недостоверность характеристик, представленных в составе заявки, у Комиссии отсутствовала.</w:t>
      </w:r>
    </w:p>
    <w:p>
      <w:pPr>
        <w:pStyle w:val="Style11"/>
        <w:keepNext w:val="0"/>
        <w:keepLines w:val="0"/>
        <w:widowControl w:val="0"/>
        <w:shd w:val="clear" w:color="auto" w:fill="auto"/>
        <w:bidi w:val="0"/>
        <w:spacing w:before="0" w:after="0"/>
        <w:ind w:left="0" w:right="0" w:firstLine="720"/>
        <w:jc w:val="both"/>
      </w:pPr>
      <w:r>
        <w:rPr>
          <w:rStyle w:val="CharStyle12"/>
        </w:rPr>
        <w:t xml:space="preserve">Вместе с тем, заявка </w:t>
      </w:r>
      <w:r>
        <w:rPr>
          <w:rStyle w:val="CharStyle12"/>
          <w:lang w:val="en-US" w:eastAsia="en-US"/>
        </w:rPr>
        <w:t xml:space="preserve">№ 121032167 </w:t>
      </w:r>
      <w:r>
        <w:rPr>
          <w:rStyle w:val="CharStyle12"/>
        </w:rPr>
        <w:t xml:space="preserve">содержит регистрационное удостоверение РЗН </w:t>
      </w:r>
      <w:r>
        <w:rPr>
          <w:rStyle w:val="CharStyle12"/>
          <w:lang w:val="en-US" w:eastAsia="en-US"/>
        </w:rPr>
        <w:t xml:space="preserve">2022/18688 </w:t>
      </w:r>
      <w:r>
        <w:rPr>
          <w:rStyle w:val="CharStyle12"/>
        </w:rPr>
        <w:t xml:space="preserve">«Комплекс для диагностики и реабилитации навыков баланса осанки и движений «БАЛФИТ» по ТУ </w:t>
      </w:r>
      <w:r>
        <w:rPr>
          <w:rStyle w:val="CharStyle12"/>
          <w:lang w:val="en-US" w:eastAsia="en-US"/>
        </w:rPr>
        <w:t xml:space="preserve">26.60.12-006-63704475-2021 </w:t>
      </w:r>
      <w:r>
        <w:rPr>
          <w:rStyle w:val="CharStyle12"/>
        </w:rPr>
        <w:t>с принадлежностями».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части </w:t>
      </w:r>
      <w:r>
        <w:rPr>
          <w:rStyle w:val="CharStyle12"/>
          <w:lang w:val="en-US" w:eastAsia="en-US"/>
        </w:rPr>
        <w:t xml:space="preserve">4 </w:t>
      </w:r>
      <w:r>
        <w:rPr>
          <w:rStyle w:val="CharStyle12"/>
        </w:rPr>
        <w:t xml:space="preserve">статьи </w:t>
      </w:r>
      <w:r>
        <w:rPr>
          <w:rStyle w:val="CharStyle12"/>
          <w:lang w:val="en-US" w:eastAsia="en-US"/>
        </w:rPr>
        <w:t xml:space="preserve">38 </w:t>
      </w:r>
      <w:r>
        <w:rPr>
          <w:rStyle w:val="CharStyle12"/>
        </w:rPr>
        <w:t xml:space="preserve">Федерального закона от </w:t>
      </w:r>
      <w:r>
        <w:rPr>
          <w:rStyle w:val="CharStyle12"/>
          <w:lang w:val="en-US" w:eastAsia="en-US"/>
        </w:rPr>
        <w:t xml:space="preserve">21 </w:t>
      </w:r>
      <w:r>
        <w:rPr>
          <w:rStyle w:val="CharStyle12"/>
        </w:rPr>
        <w:t xml:space="preserve">ноября </w:t>
      </w:r>
      <w:r>
        <w:rPr>
          <w:rStyle w:val="CharStyle12"/>
          <w:lang w:val="en-US" w:eastAsia="en-US"/>
        </w:rPr>
        <w:t xml:space="preserve">2011 </w:t>
      </w:r>
      <w:r>
        <w:rPr>
          <w:rStyle w:val="CharStyle12"/>
        </w:rPr>
        <w:t xml:space="preserve">г. </w:t>
      </w:r>
      <w:r>
        <w:rPr>
          <w:rStyle w:val="CharStyle12"/>
          <w:lang w:val="en-US" w:eastAsia="en-US"/>
        </w:rPr>
        <w:t xml:space="preserve">№ 323- </w:t>
      </w:r>
      <w:r>
        <w:rPr>
          <w:rStyle w:val="CharStyle12"/>
        </w:rPr>
        <w:t>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 составляющими право Евразийского экономического союза.</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письму ФАС России </w:t>
      </w:r>
      <w:r>
        <w:rPr>
          <w:rStyle w:val="CharStyle12"/>
          <w:lang w:val="en-US" w:eastAsia="en-US"/>
        </w:rPr>
        <w:t xml:space="preserve">№ </w:t>
      </w:r>
      <w:r>
        <w:rPr>
          <w:rStyle w:val="CharStyle12"/>
        </w:rPr>
        <w:t xml:space="preserve">ГР/48883/25 от </w:t>
      </w:r>
      <w:r>
        <w:rPr>
          <w:rStyle w:val="CharStyle12"/>
          <w:lang w:val="en-US" w:eastAsia="en-US"/>
        </w:rPr>
        <w:t xml:space="preserve">26.05.2025 </w:t>
      </w:r>
      <w:r>
        <w:rPr>
          <w:rStyle w:val="CharStyle12"/>
        </w:rPr>
        <w:t>актуальные сведения в отношении медицинских изделий, разрешенных к обращению на территории Российской Федерации, отражены в реестре медицинских изделий и организаций (индивидуальных предпринимателей), осуществляющих производство</w:t>
      </w:r>
    </w:p>
    <w:p>
      <w:pPr>
        <w:pStyle w:val="Style11"/>
        <w:keepNext w:val="0"/>
        <w:keepLines w:val="0"/>
        <w:widowControl w:val="0"/>
        <w:shd w:val="clear" w:color="auto" w:fill="auto"/>
        <w:bidi w:val="0"/>
        <w:spacing w:before="0" w:after="0"/>
        <w:ind w:left="0" w:right="0" w:firstLine="0"/>
        <w:jc w:val="both"/>
      </w:pPr>
      <w:r>
        <w:rPr>
          <w:rStyle w:val="CharStyle12"/>
        </w:rPr>
        <w:t>и изготовление медицинских изделий Росздравнадзора. Сведения, представленные в заявках участников, следует сверять с приведенными в реестре сведениями. При этом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о контрактной системе предусмотрена документация о закупке) и Законом о контрактной системе. При этом ФАС России отмечает, что подтверждением соответствия характеристик описанию объекта закупки могут являться инструкции и документы на медицинское изделие полученные любым иным способом, только в случае отсутствия отдельных характеристик закупаемого медицинского изделия в эксплуатационной документации, размещенной на сайте Росздравнадзора.</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РУ РЗН </w:t>
      </w:r>
      <w:r>
        <w:rPr>
          <w:rStyle w:val="CharStyle12"/>
          <w:lang w:val="en-US" w:eastAsia="en-US"/>
        </w:rPr>
        <w:t xml:space="preserve">2022/18688 </w:t>
      </w:r>
      <w:r>
        <w:rPr>
          <w:rStyle w:val="CharStyle12"/>
        </w:rPr>
        <w:t xml:space="preserve">зарегистрирован Комплекс для диагностики и реабилитации навыков баланса, осанки и движений «БАЛФИТ» по ТУ </w:t>
      </w:r>
      <w:r>
        <w:rPr>
          <w:rStyle w:val="CharStyle12"/>
          <w:lang w:val="en-US" w:eastAsia="en-US"/>
        </w:rPr>
        <w:t>26.60.12-006</w:t>
        <w:softHyphen/>
        <w:t xml:space="preserve">63704475-2021 </w:t>
      </w:r>
      <w:r>
        <w:rPr>
          <w:rStyle w:val="CharStyle12"/>
        </w:rPr>
        <w:t xml:space="preserve">с принадлежностями в трех вариантах исполнения, в том числе: Комплекс для реабилитации навыков движений, баланса и осанки «БАЛФИТ» по ТУ </w:t>
      </w:r>
      <w:r>
        <w:rPr>
          <w:rStyle w:val="CharStyle12"/>
          <w:lang w:val="en-US" w:eastAsia="en-US"/>
        </w:rPr>
        <w:t xml:space="preserve">26.60.12-006-63704475-2021, </w:t>
      </w:r>
      <w:r>
        <w:rPr>
          <w:rStyle w:val="CharStyle12"/>
        </w:rPr>
        <w:t xml:space="preserve">исполнение </w:t>
      </w:r>
      <w:r>
        <w:rPr>
          <w:rStyle w:val="CharStyle12"/>
          <w:lang w:val="en-US" w:eastAsia="en-US"/>
        </w:rPr>
        <w:t xml:space="preserve">3, </w:t>
      </w:r>
      <w:r>
        <w:rPr>
          <w:rStyle w:val="CharStyle12"/>
        </w:rPr>
        <w:t xml:space="preserve">в составе: </w:t>
      </w:r>
      <w:r>
        <w:rPr>
          <w:rStyle w:val="CharStyle12"/>
          <w:lang w:val="en-US" w:eastAsia="en-US"/>
        </w:rPr>
        <w:t xml:space="preserve">3.1. </w:t>
      </w:r>
      <w:r>
        <w:rPr>
          <w:rStyle w:val="CharStyle12"/>
        </w:rPr>
        <w:t xml:space="preserve">Балансплатформа </w:t>
      </w:r>
      <w:r>
        <w:rPr>
          <w:rStyle w:val="CharStyle12"/>
          <w:lang w:val="en-US" w:eastAsia="en-US"/>
        </w:rPr>
        <w:t xml:space="preserve">— 1 </w:t>
      </w:r>
      <w:r>
        <w:rPr>
          <w:rStyle w:val="CharStyle12"/>
        </w:rPr>
        <w:t>шт.</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размещенному в реестре медицинских изделий руководству по эксплуатации на Комплекс для реабилитации навыков движений, баланса и осанки «БАЛФИТ» по ТУ </w:t>
      </w:r>
      <w:r>
        <w:rPr>
          <w:rStyle w:val="CharStyle12"/>
          <w:lang w:val="en-US" w:eastAsia="en-US"/>
        </w:rPr>
        <w:t xml:space="preserve">26.60.12-006-63704475-2021 </w:t>
      </w:r>
      <w:r>
        <w:rPr>
          <w:rStyle w:val="CharStyle12"/>
        </w:rPr>
        <w:t xml:space="preserve">проведение диагностических и тренировочных процедур с эффектом качания обеспечивается с помощью балансплатформы, которая представляет собой нестабильную балансировочную платформу и имеет углы наклона по взаимоперпендикулярным осям </w:t>
      </w:r>
      <w:r>
        <w:rPr>
          <w:rStyle w:val="CharStyle12"/>
          <w:lang w:val="en-US" w:eastAsia="en-US"/>
        </w:rPr>
        <w:t xml:space="preserve">X </w:t>
      </w:r>
      <w:r>
        <w:rPr>
          <w:rStyle w:val="CharStyle12"/>
        </w:rPr>
        <w:t xml:space="preserve">и </w:t>
      </w:r>
      <w:r>
        <w:rPr>
          <w:rStyle w:val="CharStyle12"/>
          <w:lang w:val="en-US" w:eastAsia="en-US"/>
        </w:rPr>
        <w:t>Y.</w:t>
      </w:r>
    </w:p>
    <w:p>
      <w:pPr>
        <w:pStyle w:val="Style11"/>
        <w:keepNext w:val="0"/>
        <w:keepLines w:val="0"/>
        <w:widowControl w:val="0"/>
        <w:shd w:val="clear" w:color="auto" w:fill="auto"/>
        <w:bidi w:val="0"/>
        <w:spacing w:before="0" w:after="340"/>
        <w:ind w:left="0" w:right="0" w:firstLine="720"/>
        <w:jc w:val="both"/>
      </w:pPr>
      <w:r>
        <w:rPr>
          <w:rStyle w:val="CharStyle12"/>
        </w:rPr>
        <w:t xml:space="preserve">Структурированная форма заявки </w:t>
      </w:r>
      <w:r>
        <w:rPr>
          <w:rStyle w:val="CharStyle12"/>
          <w:lang w:val="en-US" w:eastAsia="en-US"/>
        </w:rPr>
        <w:t xml:space="preserve">№ 121032167 </w:t>
      </w:r>
      <w:r>
        <w:rPr>
          <w:rStyle w:val="CharStyle12"/>
        </w:rPr>
        <w:t>также содержит указание на полное соответствие требованием технического задания:</w:t>
      </w:r>
    </w:p>
    <w:tbl>
      <w:tblPr>
        <w:tblOverlap w:val="never"/>
        <w:jc w:val="center"/>
        <w:tblLayout w:type="fixed"/>
      </w:tblPr>
      <w:tblGrid>
        <w:gridCol w:w="4738"/>
        <w:gridCol w:w="4574"/>
      </w:tblGrid>
      <w:tr>
        <w:trPr>
          <w:trHeight w:val="446"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Наименование характеристики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Значение характеристики</w:t>
            </w:r>
          </w:p>
        </w:tc>
      </w:tr>
      <w:tr>
        <w:trPr>
          <w:trHeight w:val="1190"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ind w:left="0" w:right="0" w:firstLine="0"/>
              <w:jc w:val="left"/>
            </w:pPr>
            <w:r>
              <w:rPr>
                <w:rStyle w:val="CharStyle22"/>
              </w:rPr>
              <w:t>Проведение диагностических и тренировочных процедур с эффектом качания</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Да</w:t>
            </w:r>
          </w:p>
        </w:tc>
      </w:tr>
    </w:tbl>
    <w:p>
      <w:pPr>
        <w:widowControl w:val="0"/>
        <w:spacing w:after="339" w:line="1" w:lineRule="exact"/>
      </w:pP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при рассмотрении заявок участников закупки закупочная комиссия Заказчика не располагала данными, свидетельствующими о предоставлении в составе заявки </w:t>
      </w:r>
      <w:r>
        <w:rPr>
          <w:rStyle w:val="CharStyle12"/>
          <w:lang w:val="en-US" w:eastAsia="en-US"/>
        </w:rPr>
        <w:t xml:space="preserve">№ 121032167 </w:t>
      </w:r>
      <w:r>
        <w:rPr>
          <w:rStyle w:val="CharStyle12"/>
        </w:rPr>
        <w:t>недостоверной информации.</w:t>
      </w:r>
    </w:p>
    <w:p>
      <w:pPr>
        <w:pStyle w:val="Style11"/>
        <w:keepNext w:val="0"/>
        <w:keepLines w:val="0"/>
        <w:widowControl w:val="0"/>
        <w:shd w:val="clear" w:color="auto" w:fill="auto"/>
        <w:bidi w:val="0"/>
        <w:spacing w:before="0" w:after="340"/>
        <w:ind w:left="0" w:right="0" w:firstLine="720"/>
        <w:jc w:val="both"/>
      </w:pPr>
      <w:r>
        <w:rPr>
          <w:rStyle w:val="CharStyle12"/>
        </w:rPr>
        <w:t xml:space="preserve">Учитывая изложенное, действия Заказчика нарушают пункт </w:t>
      </w:r>
      <w:r>
        <w:rPr>
          <w:rStyle w:val="CharStyle12"/>
          <w:lang w:val="en-US" w:eastAsia="en-US"/>
        </w:rPr>
        <w:t xml:space="preserve">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 xml:space="preserve">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w:t>
      </w:r>
      <w:r>
        <w:rPr>
          <w:rStyle w:val="CharStyle12"/>
          <w:lang w:val="en-US" w:eastAsia="en-US"/>
        </w:rPr>
        <w:t xml:space="preserve">7 </w:t>
      </w:r>
      <w:r>
        <w:rPr>
          <w:rStyle w:val="CharStyle12"/>
        </w:rPr>
        <w:t xml:space="preserve">статьи </w:t>
      </w:r>
      <w:r>
        <w:rPr>
          <w:rStyle w:val="CharStyle12"/>
          <w:lang w:val="en-US" w:eastAsia="en-US"/>
        </w:rPr>
        <w:t xml:space="preserve">7.30.1 </w:t>
      </w:r>
      <w:r>
        <w:rPr>
          <w:rStyle w:val="CharStyle12"/>
        </w:rPr>
        <w:t>Кодекса Российской Федерации об административных</w:t>
      </w:r>
    </w:p>
    <w:p>
      <w:pPr>
        <w:pStyle w:val="Style11"/>
        <w:keepNext w:val="0"/>
        <w:keepLines w:val="0"/>
        <w:widowControl w:val="0"/>
        <w:shd w:val="clear" w:color="auto" w:fill="auto"/>
        <w:bidi w:val="0"/>
        <w:spacing w:before="0" w:after="0"/>
        <w:ind w:left="0" w:right="0" w:firstLine="0"/>
        <w:jc w:val="both"/>
      </w:pPr>
      <w:r>
        <w:rPr>
          <w:rStyle w:val="CharStyle12"/>
        </w:rPr>
        <w:t xml:space="preserve">правонарушениях (далее </w:t>
      </w:r>
      <w:r>
        <w:rPr>
          <w:rStyle w:val="CharStyle12"/>
          <w:lang w:val="en-US" w:eastAsia="en-US"/>
        </w:rPr>
        <w:t xml:space="preserve">- </w:t>
      </w:r>
      <w:r>
        <w:rPr>
          <w:rStyle w:val="CharStyle12"/>
        </w:rPr>
        <w:t>КоАП РФ).</w:t>
      </w:r>
    </w:p>
    <w:p>
      <w:pPr>
        <w:pStyle w:val="Style11"/>
        <w:keepNext w:val="0"/>
        <w:keepLines w:val="0"/>
        <w:widowControl w:val="0"/>
        <w:shd w:val="clear" w:color="auto" w:fill="auto"/>
        <w:bidi w:val="0"/>
        <w:spacing w:before="0" w:after="0"/>
        <w:ind w:left="0" w:right="0" w:firstLine="720"/>
        <w:jc w:val="both"/>
      </w:pPr>
      <w:r>
        <w:rPr>
          <w:rStyle w:val="CharStyle12"/>
        </w:rPr>
        <w:t xml:space="preserve">Дополнительно Комиссия отмечает, что в соответствии с подпунктом «а» пункта </w:t>
      </w:r>
      <w:r>
        <w:rPr>
          <w:rStyle w:val="CharStyle12"/>
          <w:lang w:val="en-US" w:eastAsia="en-US"/>
        </w:rPr>
        <w:t xml:space="preserve">2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Закона о контрактной системе в случае, если Правительством Российской Федерации установлено ограничение закупок товаров иностранного происхождения, то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pPr>
        <w:pStyle w:val="Style11"/>
        <w:keepNext w:val="0"/>
        <w:keepLines w:val="0"/>
        <w:widowControl w:val="0"/>
        <w:shd w:val="clear" w:color="auto" w:fill="auto"/>
        <w:bidi w:val="0"/>
        <w:spacing w:before="0" w:after="0"/>
        <w:ind w:left="0" w:right="0" w:firstLine="720"/>
        <w:jc w:val="both"/>
      </w:pPr>
      <w:r>
        <w:rPr>
          <w:rStyle w:val="CharStyle12"/>
        </w:rPr>
        <w:t xml:space="preserve">Соответственно, исходя из системного толкования пункта </w:t>
      </w:r>
      <w:r>
        <w:rPr>
          <w:rStyle w:val="CharStyle12"/>
          <w:lang w:val="en-US" w:eastAsia="en-US"/>
        </w:rPr>
        <w:t xml:space="preserve">2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 xml:space="preserve">Закона о контрактной системе, а также абзаца три подпункта «з» пункта </w:t>
      </w:r>
      <w:r>
        <w:rPr>
          <w:rStyle w:val="CharStyle12"/>
          <w:lang w:val="en-US" w:eastAsia="en-US"/>
        </w:rPr>
        <w:t xml:space="preserve">3 </w:t>
      </w:r>
      <w:r>
        <w:rPr>
          <w:rStyle w:val="CharStyle12"/>
        </w:rPr>
        <w:t xml:space="preserve">Постановления </w:t>
      </w:r>
      <w:r>
        <w:rPr>
          <w:rStyle w:val="CharStyle12"/>
          <w:lang w:val="en-US" w:eastAsia="en-US"/>
        </w:rPr>
        <w:t xml:space="preserve">№ 1875, </w:t>
      </w:r>
      <w:r>
        <w:rPr>
          <w:rStyle w:val="CharStyle12"/>
        </w:rPr>
        <w:t>в случае, если в заявке участника закупки была предоставлена реестровая запись из РРПП, иные заявки, продекларировавшие страну «Российская Федерации» должны быть приравнены к иностранным заявкам.</w:t>
      </w:r>
    </w:p>
    <w:p>
      <w:pPr>
        <w:pStyle w:val="Style11"/>
        <w:keepNext w:val="0"/>
        <w:keepLines w:val="0"/>
        <w:widowControl w:val="0"/>
        <w:shd w:val="clear" w:color="auto" w:fill="auto"/>
        <w:bidi w:val="0"/>
        <w:spacing w:before="0" w:after="0"/>
        <w:ind w:left="0" w:right="0" w:firstLine="720"/>
        <w:jc w:val="both"/>
      </w:pPr>
      <w:r>
        <w:rPr>
          <w:rStyle w:val="CharStyle12"/>
        </w:rPr>
        <w:t xml:space="preserve">Как установлено Комиссией, иные заявки, поданные на участие в Закупке задекларировали страну происхождения «Российская Федерация», однако не содержат в себе указания на реестровую запись из РРПП. Следовательно, указанные заявки должны быть отклонены закупочной комиссией Заказчика в силу пункта </w:t>
      </w:r>
      <w:r>
        <w:rPr>
          <w:rStyle w:val="CharStyle12"/>
          <w:lang w:val="en-US" w:eastAsia="en-US"/>
        </w:rPr>
        <w:t xml:space="preserve">2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 xml:space="preserve">По результатам рассмотрения жалобы по существу в соответствии с частью </w:t>
      </w:r>
      <w:r>
        <w:rPr>
          <w:rStyle w:val="CharStyle12"/>
          <w:lang w:val="en-US" w:eastAsia="en-US"/>
        </w:rPr>
        <w:t xml:space="preserve">8 </w:t>
      </w:r>
      <w:r>
        <w:rPr>
          <w:rStyle w:val="CharStyle12"/>
        </w:rPr>
        <w:t xml:space="preserve">статьи </w:t>
      </w:r>
      <w:r>
        <w:rPr>
          <w:rStyle w:val="CharStyle12"/>
          <w:lang w:val="en-US" w:eastAsia="en-US"/>
        </w:rPr>
        <w:t xml:space="preserve">106 </w:t>
      </w:r>
      <w:r>
        <w:rPr>
          <w:rStyle w:val="CharStyle12"/>
        </w:rPr>
        <w:t xml:space="preserve">Закона о контрактной системе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w:t>
      </w:r>
      <w:r>
        <w:rPr>
          <w:rStyle w:val="CharStyle12"/>
          <w:lang w:val="en-US" w:eastAsia="en-US"/>
        </w:rPr>
        <w:t xml:space="preserve">1 </w:t>
      </w:r>
      <w:r>
        <w:rPr>
          <w:rStyle w:val="CharStyle12"/>
        </w:rPr>
        <w:t xml:space="preserve">и </w:t>
      </w:r>
      <w:r>
        <w:rPr>
          <w:rStyle w:val="CharStyle12"/>
          <w:lang w:val="en-US" w:eastAsia="en-US"/>
        </w:rPr>
        <w:t xml:space="preserve">3 </w:t>
      </w:r>
      <w:r>
        <w:rPr>
          <w:rStyle w:val="CharStyle12"/>
        </w:rPr>
        <w:t xml:space="preserve">части </w:t>
      </w:r>
      <w:r>
        <w:rPr>
          <w:rStyle w:val="CharStyle12"/>
          <w:lang w:val="en-US" w:eastAsia="en-US"/>
        </w:rPr>
        <w:t xml:space="preserve">22 </w:t>
      </w:r>
      <w:r>
        <w:rPr>
          <w:rStyle w:val="CharStyle12"/>
        </w:rPr>
        <w:t xml:space="preserve">статьи </w:t>
      </w:r>
      <w:r>
        <w:rPr>
          <w:rStyle w:val="CharStyle12"/>
          <w:lang w:val="en-US" w:eastAsia="en-US"/>
        </w:rPr>
        <w:t xml:space="preserve">99 </w:t>
      </w:r>
      <w:r>
        <w:rPr>
          <w:rStyle w:val="CharStyle12"/>
        </w:rPr>
        <w:t xml:space="preserve">настоящего Федерального закона, и выдает (при необходимости) предписание об устранении допущенных нарушений, предусмотренное пунктом </w:t>
      </w:r>
      <w:r>
        <w:rPr>
          <w:rStyle w:val="CharStyle12"/>
          <w:lang w:val="en-US" w:eastAsia="en-US"/>
        </w:rPr>
        <w:t xml:space="preserve">2 </w:t>
      </w:r>
      <w:r>
        <w:rPr>
          <w:rStyle w:val="CharStyle12"/>
        </w:rPr>
        <w:t xml:space="preserve">части </w:t>
      </w:r>
      <w:r>
        <w:rPr>
          <w:rStyle w:val="CharStyle12"/>
          <w:lang w:val="en-US" w:eastAsia="en-US"/>
        </w:rPr>
        <w:t xml:space="preserve">22 </w:t>
      </w:r>
      <w:r>
        <w:rPr>
          <w:rStyle w:val="CharStyle12"/>
        </w:rPr>
        <w:t xml:space="preserve">статьи </w:t>
      </w:r>
      <w:r>
        <w:rPr>
          <w:rStyle w:val="CharStyle12"/>
          <w:lang w:val="en-US" w:eastAsia="en-US"/>
        </w:rPr>
        <w:t xml:space="preserve">99 </w:t>
      </w:r>
      <w:r>
        <w:rPr>
          <w:rStyle w:val="CharStyle12"/>
        </w:rPr>
        <w:t>настоящего Федерального закона.</w:t>
      </w:r>
    </w:p>
    <w:p>
      <w:pPr>
        <w:pStyle w:val="Style11"/>
        <w:keepNext w:val="0"/>
        <w:keepLines w:val="0"/>
        <w:widowControl w:val="0"/>
        <w:shd w:val="clear" w:color="auto" w:fill="auto"/>
        <w:bidi w:val="0"/>
        <w:spacing w:before="0" w:after="320"/>
        <w:ind w:left="0" w:right="0" w:firstLine="720"/>
        <w:jc w:val="both"/>
      </w:pPr>
      <w:r>
        <w:rPr>
          <w:rStyle w:val="CharStyle12"/>
        </w:rPr>
        <w:t xml:space="preserve">На основании изложенного, руководствуясь частью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 xml:space="preserve">частью </w:t>
      </w:r>
      <w:r>
        <w:rPr>
          <w:rStyle w:val="CharStyle12"/>
          <w:lang w:val="en-US" w:eastAsia="en-US"/>
        </w:rPr>
        <w:t xml:space="preserve">8 </w:t>
      </w:r>
      <w:r>
        <w:rPr>
          <w:rStyle w:val="CharStyle12"/>
        </w:rPr>
        <w:t xml:space="preserve">статьи </w:t>
      </w:r>
      <w:r>
        <w:rPr>
          <w:rStyle w:val="CharStyle12"/>
          <w:lang w:val="en-US" w:eastAsia="en-US"/>
        </w:rPr>
        <w:t xml:space="preserve">106 </w:t>
      </w:r>
      <w:r>
        <w:rPr>
          <w:rStyle w:val="CharStyle12"/>
        </w:rPr>
        <w:t>Закона о контрактной системе, Комиссия</w:t>
      </w:r>
    </w:p>
    <w:p>
      <w:pPr>
        <w:pStyle w:val="Style11"/>
        <w:keepNext w:val="0"/>
        <w:keepLines w:val="0"/>
        <w:widowControl w:val="0"/>
        <w:shd w:val="clear" w:color="auto" w:fill="auto"/>
        <w:bidi w:val="0"/>
        <w:spacing w:before="0" w:after="320"/>
        <w:ind w:left="0" w:right="0" w:firstLine="0"/>
        <w:jc w:val="center"/>
      </w:pPr>
      <w:r>
        <w:rPr>
          <w:rStyle w:val="CharStyle12"/>
        </w:rPr>
        <w:t>РЕШИЛА:</w:t>
      </w:r>
    </w:p>
    <w:p>
      <w:pPr>
        <w:pStyle w:val="Style11"/>
        <w:keepNext w:val="0"/>
        <w:keepLines w:val="0"/>
        <w:widowControl w:val="0"/>
        <w:numPr>
          <w:ilvl w:val="0"/>
          <w:numId w:val="11"/>
        </w:numPr>
        <w:shd w:val="clear" w:color="auto" w:fill="auto"/>
        <w:tabs>
          <w:tab w:pos="1080" w:val="left"/>
        </w:tabs>
        <w:bidi w:val="0"/>
        <w:spacing w:before="0" w:after="0"/>
        <w:ind w:left="0" w:right="0" w:firstLine="720"/>
        <w:jc w:val="both"/>
      </w:pPr>
      <w:r>
        <w:rPr>
          <w:rStyle w:val="CharStyle12"/>
        </w:rPr>
        <w:t xml:space="preserve">Признать жалобу ООО «Ника» на действия ГКУ «Медицинский склад </w:t>
      </w:r>
      <w:r>
        <w:rPr>
          <w:rStyle w:val="CharStyle12"/>
          <w:lang w:val="en-US" w:eastAsia="en-US"/>
        </w:rPr>
        <w:t xml:space="preserve">№ 1043» </w:t>
      </w:r>
      <w:r>
        <w:rPr>
          <w:rStyle w:val="CharStyle12"/>
        </w:rPr>
        <w:t>обоснованной.</w:t>
      </w:r>
    </w:p>
    <w:p>
      <w:pPr>
        <w:pStyle w:val="Style11"/>
        <w:keepNext w:val="0"/>
        <w:keepLines w:val="0"/>
        <w:widowControl w:val="0"/>
        <w:numPr>
          <w:ilvl w:val="0"/>
          <w:numId w:val="11"/>
        </w:numPr>
        <w:shd w:val="clear" w:color="auto" w:fill="auto"/>
        <w:tabs>
          <w:tab w:pos="1080" w:val="left"/>
        </w:tabs>
        <w:bidi w:val="0"/>
        <w:spacing w:before="0" w:after="320"/>
        <w:ind w:left="0" w:right="0" w:firstLine="720"/>
        <w:jc w:val="both"/>
      </w:pPr>
      <w:r>
        <w:rPr>
          <w:rStyle w:val="CharStyle12"/>
        </w:rPr>
        <w:t xml:space="preserve">Установить в действиях ГКУ «Медицинский склад </w:t>
      </w:r>
      <w:r>
        <w:rPr>
          <w:rStyle w:val="CharStyle12"/>
          <w:lang w:val="en-US" w:eastAsia="en-US"/>
        </w:rPr>
        <w:t xml:space="preserve">№ 1043» </w:t>
      </w:r>
      <w:r>
        <w:rPr>
          <w:rStyle w:val="CharStyle12"/>
        </w:rPr>
        <w:t xml:space="preserve">нарушение требований пункта </w:t>
      </w:r>
      <w:r>
        <w:rPr>
          <w:rStyle w:val="CharStyle12"/>
          <w:lang w:val="en-US" w:eastAsia="en-US"/>
        </w:rPr>
        <w:t xml:space="preserve">8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48 </w:t>
      </w:r>
      <w:r>
        <w:rPr>
          <w:rStyle w:val="CharStyle12"/>
        </w:rPr>
        <w:t>Закона о контрактной системе.</w:t>
      </w:r>
      <w:r>
        <w:br w:type="page"/>
      </w:r>
    </w:p>
    <w:p>
      <w:pPr>
        <w:pStyle w:val="Style11"/>
        <w:keepNext w:val="0"/>
        <w:keepLines w:val="0"/>
        <w:widowControl w:val="0"/>
        <w:numPr>
          <w:ilvl w:val="0"/>
          <w:numId w:val="11"/>
        </w:numPr>
        <w:shd w:val="clear" w:color="auto" w:fill="auto"/>
        <w:tabs>
          <w:tab w:pos="1117" w:val="left"/>
        </w:tabs>
        <w:bidi w:val="0"/>
        <w:spacing w:before="0" w:after="0"/>
        <w:ind w:left="0" w:right="0" w:firstLine="820"/>
        <w:jc w:val="both"/>
      </w:pPr>
      <w:r>
        <w:rPr>
          <w:rStyle w:val="CharStyle12"/>
        </w:rPr>
        <w:t xml:space="preserve">Выдать ГКУ «Медицинский склад </w:t>
      </w:r>
      <w:r>
        <w:rPr>
          <w:rStyle w:val="CharStyle12"/>
          <w:lang w:val="en-US" w:eastAsia="en-US"/>
        </w:rPr>
        <w:t xml:space="preserve">№ 1043» </w:t>
      </w:r>
      <w:r>
        <w:rPr>
          <w:rStyle w:val="CharStyle12"/>
        </w:rPr>
        <w:t>обязательное для исполнение предписание.</w:t>
      </w:r>
    </w:p>
    <w:p>
      <w:pPr>
        <w:pStyle w:val="Style11"/>
        <w:keepNext w:val="0"/>
        <w:keepLines w:val="0"/>
        <w:widowControl w:val="0"/>
        <w:numPr>
          <w:ilvl w:val="0"/>
          <w:numId w:val="11"/>
        </w:numPr>
        <w:shd w:val="clear" w:color="auto" w:fill="auto"/>
        <w:tabs>
          <w:tab w:pos="1117" w:val="left"/>
        </w:tabs>
        <w:bidi w:val="0"/>
        <w:spacing w:before="0" w:after="300"/>
        <w:ind w:left="0" w:right="0" w:firstLine="820"/>
        <w:jc w:val="both"/>
      </w:pPr>
      <w:r>
        <w:rPr>
          <w:rStyle w:val="CharStyle12"/>
        </w:rPr>
        <w:t>Передать материалы дела должностному лицу Крымского межрегионального УФАС России для рассмотрения вопроса о возбуждении административного производства.</w:t>
      </w:r>
    </w:p>
    <w:p>
      <w:pPr>
        <w:pStyle w:val="Style11"/>
        <w:keepNext w:val="0"/>
        <w:keepLines w:val="0"/>
        <w:widowControl w:val="0"/>
        <w:shd w:val="clear" w:color="auto" w:fill="auto"/>
        <w:bidi w:val="0"/>
        <w:spacing w:before="0" w:after="300"/>
        <w:ind w:left="0" w:right="0" w:firstLine="820"/>
        <w:jc w:val="both"/>
      </w:pPr>
      <w:r>
        <w:rPr>
          <w:rStyle w:val="CharStyle12"/>
        </w:rPr>
        <w:t>Решение может быть обжаловано в судебном порядке в течение трех месяцев со дня принятия решения или выдачи предписания.</w:t>
      </w:r>
    </w:p>
    <w:p>
      <w:pPr>
        <w:pStyle w:val="Style11"/>
        <w:keepNext w:val="0"/>
        <w:keepLines w:val="0"/>
        <w:widowControl w:val="0"/>
        <w:shd w:val="clear" w:color="auto" w:fill="auto"/>
        <w:tabs>
          <w:tab w:pos="8496" w:val="left"/>
        </w:tabs>
        <w:bidi w:val="0"/>
        <w:spacing w:before="0" w:after="1220"/>
        <w:ind w:left="0" w:right="0" w:firstLine="0"/>
        <w:jc w:val="center"/>
      </w:pPr>
      <w:r>
        <w:rPr>
          <w:rStyle w:val="CharStyle12"/>
        </w:rPr>
        <w:t>Председатель комиссии</w:t>
      </w:r>
      <w:r>
        <w:rPr>
          <w:rStyle w:val="CharStyle12"/>
        </w:rPr>
        <w:tab/>
      </w:r>
      <w:r>
        <w:rPr>
          <w:rStyle w:val="CharStyle12"/>
        </w:rPr>
        <w:t>В.В. Мехтиев</w:t>
      </w:r>
    </w:p>
    <w:p>
      <w:pPr>
        <w:pStyle w:val="Style11"/>
        <w:keepNext w:val="0"/>
        <w:keepLines w:val="0"/>
        <w:widowControl w:val="0"/>
        <w:shd w:val="clear" w:color="auto" w:fill="auto"/>
        <w:bidi w:val="0"/>
        <w:spacing w:before="0" w:after="60" w:line="240" w:lineRule="auto"/>
        <w:ind w:left="0" w:right="0" w:firstLine="0"/>
        <w:jc w:val="both"/>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2" behindDoc="0" locked="0" layoutInCell="1" allowOverlap="1">
            <wp:simplePos x="0" y="0"/>
            <wp:positionH relativeFrom="page">
              <wp:posOffset>2650490</wp:posOffset>
            </wp:positionH>
            <wp:positionV relativeFrom="paragraph">
              <wp:posOffset>50800</wp:posOffset>
            </wp:positionV>
            <wp:extent cx="359410" cy="52451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3110865</wp:posOffset>
                </wp:positionH>
                <wp:positionV relativeFrom="paragraph">
                  <wp:posOffset>459105</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4.95000000000002pt;margin-top:36.149999999999999pt;width:101.05pt;height:7.9000000000000004pt;z-index:251657731;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3070860</wp:posOffset>
                </wp:positionH>
                <wp:positionV relativeFrom="paragraph">
                  <wp:posOffset>142240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80000000000001pt;margin-top:11.200000000000001pt;width:135.59999999999999pt;height:20.400000000000002pt;z-index:25165773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Е.А. Вилочева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Кому выдан: </w:t>
      </w:r>
      <w:r>
        <w:rPr>
          <w:rStyle w:val="CharStyle25"/>
          <w:color w:val="000000"/>
        </w:rPr>
        <w:t>Вилочева Елена Алексеевна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92929"/>
        </w:rPr>
        <w:t xml:space="preserve">№ </w:t>
      </w:r>
      <w:r>
        <w:rPr>
          <w:rStyle w:val="CharStyle25"/>
          <w:lang w:val="en-US" w:eastAsia="en-US"/>
        </w:rPr>
        <w:t>00B6E14FC558B33F88AC8C9E1A51317BE</w:t>
      </w:r>
      <w:r>
        <w:rPr>
          <w:rStyle w:val="CharStyle25"/>
          <w:lang w:val="en-US" w:eastAsia="en-US"/>
        </w:rPr>
        <w:t>0</w:t>
      </w:r>
    </w:p>
    <w:p>
      <w:pPr>
        <w:pStyle w:val="Style24"/>
        <w:keepNext w:val="0"/>
        <w:keepLines w:val="0"/>
        <w:widowControl w:val="0"/>
        <w:shd w:val="clear" w:color="auto" w:fill="auto"/>
        <w:bidi w:val="0"/>
        <w:spacing w:before="0" w:after="220" w:line="240" w:lineRule="auto"/>
        <w:ind w:right="0" w:firstLine="0"/>
        <w:jc w:val="both"/>
      </w:pPr>
      <w:r>
        <w:rPr>
          <w:rStyle w:val="CharStyle25"/>
        </w:rPr>
        <w:t xml:space="preserve">Действителен с 29.05.2025 </w:t>
      </w:r>
      <w:r>
        <w:rPr>
          <w:rStyle w:val="CharStyle25"/>
          <w:color w:val="5E5E5E"/>
        </w:rPr>
        <w:t xml:space="preserve">по </w:t>
      </w:r>
      <w:r>
        <w:rPr>
          <w:rStyle w:val="CharStyle25"/>
        </w:rPr>
        <w:t>22.08.2026</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2650490</wp:posOffset>
            </wp:positionH>
            <wp:positionV relativeFrom="paragraph">
              <wp:posOffset>63500</wp:posOffset>
            </wp:positionV>
            <wp:extent cx="359410" cy="5181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359410" cy="5181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3110865</wp:posOffset>
                </wp:positionH>
                <wp:positionV relativeFrom="paragraph">
                  <wp:posOffset>466090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4.95000000000002pt;margin-top:36.700000000000003pt;width:101.05pt;height:7.9000000000000004pt;z-index:251657735;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3070860</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80000000000001pt;margin-top:11.700000000000001pt;width:135.59999999999999pt;height:20.400000000000002pt;z-index:251657737;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М.Д. Сергеева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Кому выдан: </w:t>
      </w:r>
      <w:r>
        <w:rPr>
          <w:rStyle w:val="CharStyle25"/>
          <w:color w:val="000000"/>
        </w:rPr>
        <w:t>Сергеева Марина Дмитриевна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92929"/>
        </w:rPr>
        <w:t xml:space="preserve">№ </w:t>
      </w:r>
      <w:r>
        <w:rPr>
          <w:rStyle w:val="CharStyle25"/>
          <w:lang w:val="en-US" w:eastAsia="en-US"/>
        </w:rPr>
        <w:t>5A4A185D371AA3006FB3FE550DC251E8</w:t>
      </w:r>
    </w:p>
    <w:p>
      <w:pPr>
        <w:pStyle w:val="Style24"/>
        <w:keepNext w:val="0"/>
        <w:keepLines w:val="0"/>
        <w:widowControl w:val="0"/>
        <w:shd w:val="clear" w:color="auto" w:fill="auto"/>
        <w:bidi w:val="0"/>
        <w:spacing w:before="0" w:after="4640" w:line="240" w:lineRule="auto"/>
        <w:ind w:right="0" w:firstLine="0"/>
        <w:jc w:val="both"/>
      </w:pPr>
      <w:r>
        <w:rPr>
          <w:rStyle w:val="CharStyle25"/>
        </w:rPr>
        <w:t xml:space="preserve">Действителен с 25.07.2025 </w:t>
      </w:r>
      <w:r>
        <w:rPr>
          <w:rStyle w:val="CharStyle25"/>
          <w:color w:val="5E5E5E"/>
        </w:rPr>
        <w:t xml:space="preserve">по </w:t>
      </w:r>
      <w:r>
        <w:rPr>
          <w:rStyle w:val="CharStyle25"/>
        </w:rPr>
        <w:t>18.10.2026</w:t>
      </w:r>
    </w:p>
    <w:p>
      <w:pPr>
        <w:pStyle w:val="Style29"/>
        <w:keepNext w:val="0"/>
        <w:keepLines w:val="0"/>
        <w:widowControl w:val="0"/>
        <w:shd w:val="clear" w:color="auto" w:fill="auto"/>
        <w:bidi w:val="0"/>
        <w:spacing w:before="0" w:after="0" w:line="240" w:lineRule="auto"/>
        <w:ind w:left="0" w:right="0" w:firstLine="0"/>
        <w:jc w:val="both"/>
      </w:pPr>
      <w:r>
        <w:rPr>
          <w:rStyle w:val="CharStyle30"/>
        </w:rPr>
        <w:t>Исп.Сергеева М.Д.</w:t>
      </w:r>
    </w:p>
    <w:p>
      <w:pPr>
        <w:pStyle w:val="Style29"/>
        <w:keepNext w:val="0"/>
        <w:keepLines w:val="0"/>
        <w:widowControl w:val="0"/>
        <w:shd w:val="clear" w:color="auto" w:fill="auto"/>
        <w:bidi w:val="0"/>
        <w:spacing w:before="0" w:after="260" w:line="240" w:lineRule="auto"/>
        <w:ind w:left="0" w:right="0" w:firstLine="0"/>
        <w:jc w:val="both"/>
      </w:pPr>
      <w:r>
        <w:rPr>
          <w:rStyle w:val="CharStyle30"/>
        </w:rPr>
        <w:t>тел. +7 (499) 755 23 23, вн. 092-116</w:t>
      </w:r>
    </w:p>
    <w:sectPr>
      <w:headerReference w:type="default" r:id="rId16"/>
      <w:footerReference w:type="default" r:id="rId17"/>
      <w:footnotePr>
        <w:pos w:val="pageBottom"/>
        <w:numFmt w:val="decimal"/>
        <w:numRestart w:val="continuous"/>
      </w:footnotePr>
      <w:pgSz w:w="11900" w:h="16840"/>
      <w:pgMar w:top="1643" w:right="528" w:bottom="1305" w:left="107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9857740</wp:posOffset>
              </wp:positionV>
              <wp:extent cx="658495" cy="121920"/>
              <wp:wrapNone/>
              <wp:docPr id="9" name="Shape 9"/>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2026-6371</w:t>
                          </w:r>
                        </w:p>
                      </w:txbxContent>
                    </wps:txbx>
                    <wps:bodyPr wrap="none" lIns="0" tIns="0" rIns="0" bIns="0">
                      <a:spAutoFit/>
                    </wps:bodyPr>
                  </wps:wsp>
                </a:graphicData>
              </a:graphic>
            </wp:anchor>
          </w:drawing>
        </mc:Choice>
        <mc:Fallback>
          <w:pict>
            <v:shape id="_x0000_s1035" type="#_x0000_t202" style="position:absolute;margin-left:56.75pt;margin-top:776.20000000000005pt;width:51.8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2026-6371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718185</wp:posOffset>
              </wp:positionH>
              <wp:positionV relativeFrom="page">
                <wp:posOffset>10019665</wp:posOffset>
              </wp:positionV>
              <wp:extent cx="658495" cy="121920"/>
              <wp:wrapNone/>
              <wp:docPr id="27" name="Shape 27"/>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2026-6371</w:t>
                          </w:r>
                        </w:p>
                      </w:txbxContent>
                    </wps:txbx>
                    <wps:bodyPr wrap="none" lIns="0" tIns="0" rIns="0" bIns="0">
                      <a:spAutoFit/>
                    </wps:bodyPr>
                  </wps:wsp>
                </a:graphicData>
              </a:graphic>
            </wp:anchor>
          </w:drawing>
        </mc:Choice>
        <mc:Fallback>
          <w:pict>
            <v:shape id="_x0000_s1053" type="#_x0000_t202" style="position:absolute;margin-left:56.550000000000004pt;margin-top:788.95000000000005pt;width:51.850000000000001pt;height:9.5999999999999996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2026-6371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3921125</wp:posOffset>
              </wp:positionH>
              <wp:positionV relativeFrom="page">
                <wp:posOffset>796290</wp:posOffset>
              </wp:positionV>
              <wp:extent cx="76200" cy="69850"/>
              <wp:wrapNone/>
              <wp:docPr id="11" name="Shape 11"/>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8.75pt;margin-top:62.700000000000003pt;width:6.pt;height:5.5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3882390</wp:posOffset>
              </wp:positionH>
              <wp:positionV relativeFrom="page">
                <wp:posOffset>763270</wp:posOffset>
              </wp:positionV>
              <wp:extent cx="140335" cy="73025"/>
              <wp:wrapNone/>
              <wp:docPr id="25" name="Shape 25"/>
              <a:graphic xmlns:a="http://schemas.openxmlformats.org/drawingml/2006/main">
                <a:graphicData uri="http://schemas.microsoft.com/office/word/2010/wordprocessingShape">
                  <wps:wsp>
                    <wps:cNvSpPr txBox="1"/>
                    <wps:spPr>
                      <a:xfrm>
                        <a:ext cx="140335" cy="7302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5.69999999999999pt;margin-top:60.100000000000001pt;width:11.050000000000001pt;height:5.75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2"/>
      <w:numFmt w:val="decimal"/>
      <w:lvlText w:val="%1."/>
    </w:lvl>
    <w:lvl w:ilvl="1">
      <w:start w:val="11"/>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3"/>
      <w:numFmt w:val="decimal"/>
      <w:lvlText w:val="%1."/>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9">
    <w:name w:val="Picture caption_"/>
    <w:basedOn w:val="DefaultParagraphFont"/>
    <w:link w:val="Style8"/>
    <w:rPr>
      <w:rFonts w:ascii="Georgia" w:eastAsia="Georgia" w:hAnsi="Georgia" w:cs="Georgia"/>
      <w:b w:val="0"/>
      <w:bCs w:val="0"/>
      <w:i w:val="0"/>
      <w:iCs w:val="0"/>
      <w:smallCaps w:val="0"/>
      <w:strike w:val="0"/>
      <w:color w:val="292929"/>
      <w:sz w:val="11"/>
      <w:szCs w:val="11"/>
      <w:u w:val="none"/>
    </w:rPr>
  </w:style>
  <w:style w:type="character" w:customStyle="1" w:styleId="CharStyle12">
    <w:name w:val="Body text_"/>
    <w:basedOn w:val="DefaultParagraphFont"/>
    <w:link w:val="Style11"/>
    <w:rPr>
      <w:rFonts w:ascii="Times New Roman" w:eastAsia="Times New Roman" w:hAnsi="Times New Roman" w:cs="Times New Roman"/>
      <w:b w:val="0"/>
      <w:bCs w:val="0"/>
      <w:i/>
      <w:iCs/>
      <w:smallCaps w:val="0"/>
      <w:strike w:val="0"/>
      <w:sz w:val="28"/>
      <w:szCs w:val="28"/>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4"/>
      <w:szCs w:val="34"/>
      <w:u w:val="none"/>
      <w:lang w:val="en-US" w:eastAsia="en-US"/>
    </w:rPr>
  </w:style>
  <w:style w:type="character" w:customStyle="1" w:styleId="CharStyle22">
    <w:name w:val="Other_"/>
    <w:basedOn w:val="DefaultParagraphFont"/>
    <w:link w:val="Style21"/>
    <w:rPr>
      <w:rFonts w:ascii="Times New Roman" w:eastAsia="Times New Roman" w:hAnsi="Times New Roman" w:cs="Times New Roman"/>
      <w:b w:val="0"/>
      <w:bCs w:val="0"/>
      <w:i/>
      <w:iCs/>
      <w:smallCaps w:val="0"/>
      <w:strike w:val="0"/>
      <w:sz w:val="28"/>
      <w:szCs w:val="28"/>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character" w:customStyle="1" w:styleId="CharStyle30">
    <w:name w:val="Body text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60" w:line="283"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Body text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8">
    <w:name w:val="Picture caption"/>
    <w:basedOn w:val="Normal"/>
    <w:link w:val="CharStyle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1">
    <w:name w:val="Body text"/>
    <w:basedOn w:val="Normal"/>
    <w:link w:val="CharStyle12"/>
    <w:qFormat/>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Heading #1"/>
    <w:basedOn w:val="Normal"/>
    <w:link w:val="CharStyle18"/>
    <w:pPr>
      <w:widowControl w:val="0"/>
      <w:shd w:val="clear" w:color="auto" w:fill="auto"/>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Other"/>
    <w:basedOn w:val="Normal"/>
    <w:link w:val="CharStyle22"/>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24">
    <w:name w:val="Body text (2)"/>
    <w:basedOn w:val="Normal"/>
    <w:link w:val="CharStyle25"/>
    <w:pPr>
      <w:widowControl w:val="0"/>
      <w:shd w:val="clear" w:color="auto" w:fill="auto"/>
      <w:ind w:left="3200"/>
    </w:pPr>
    <w:rPr>
      <w:rFonts w:ascii="Arial" w:eastAsia="Arial" w:hAnsi="Arial" w:cs="Arial"/>
      <w:b w:val="0"/>
      <w:bCs w:val="0"/>
      <w:i w:val="0"/>
      <w:iCs w:val="0"/>
      <w:smallCaps w:val="0"/>
      <w:strike w:val="0"/>
      <w:color w:val="424242"/>
      <w:sz w:val="12"/>
      <w:szCs w:val="12"/>
      <w:u w:val="none"/>
    </w:rPr>
  </w:style>
  <w:style w:type="paragraph" w:customStyle="1" w:styleId="Style29">
    <w:name w:val="Body text (5)"/>
    <w:basedOn w:val="Normal"/>
    <w:link w:val="CharStyle30"/>
    <w:pPr>
      <w:widowControl w:val="0"/>
      <w:shd w:val="clear" w:color="auto" w:fill="auto"/>
      <w:spacing w:after="13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header" Target="header2.xml"/><Relationship Id="rId17" Type="http://schemas.openxmlformats.org/officeDocument/2006/relationships/footer" Target="footer3.xml"/></Relationships>
</file>