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602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12700</wp:posOffset>
                </wp:positionV>
                <wp:extent cx="1276985" cy="45402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ООО «УМК»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"mailto:ymkayral@list.ru"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ymkayral@list.ru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0.25pt;margin-top:1.pt;width:100.55pt;height:35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ООО «УМК» </w:t>
                      </w:r>
                      <w:r>
                        <w:fldChar w:fldCharType="begin"/>
                      </w:r>
                      <w:r>
                        <w:rPr/>
                        <w:instrText> HYPERLINK "mailto:ymkayral@list.ru"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ymkayral@list.ru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</w:rPr>
        <w:t>ФЕДЕРАЛЬНАЯ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500"/>
        <w:jc w:val="both"/>
      </w:pPr>
      <w:r>
        <w:rPr>
          <w:rStyle w:val="CharStyle8"/>
          <w:b/>
          <w:bCs/>
        </w:rPr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139700</wp:posOffset>
                </wp:positionV>
                <wp:extent cx="2761615" cy="45402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6161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ГБУЗ «ГКБ им. В.М. Буянова ДЗМ»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"mailto:dogovor@gkb12mos.ru"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dogovor@gkb12mos.ru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0.25pt;margin-top:11.pt;width:217.45000000000002pt;height:35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ГБУЗ «ГКБ им. В.М. Буянова ДЗМ» </w:t>
                      </w:r>
                      <w:r>
                        <w:fldChar w:fldCharType="begin"/>
                      </w:r>
                      <w:r>
                        <w:rPr/>
                        <w:instrText> HYPERLINK "mailto:dogovor@gkb12mos.ru"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dogovor@gkb12mos.ru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60" w:right="0" w:firstLine="0"/>
        <w:jc w:val="left"/>
      </w:pPr>
      <w:r>
        <w:rPr>
          <w:rStyle w:val="CharStyle8"/>
          <w:b/>
          <w:bCs/>
        </w:rPr>
        <w:t>по г. Москве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Мясницкий проезд, д.4, стр. 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rStyle w:val="CharStyle8"/>
        </w:rPr>
        <w:t>107078, г. Москва,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20"/>
        <w:jc w:val="both"/>
      </w:pPr>
      <w:r>
        <w:rPr>
          <w:rStyle w:val="CharStyle8"/>
        </w:rPr>
        <w:t>тел. (495) 784-75-05, факс (495) 607-49-29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160"/>
        <w:jc w:val="both"/>
      </w:pPr>
      <w:r>
        <w:rPr>
          <w:rStyle w:val="CharStyle8"/>
        </w:rPr>
        <w:t xml:space="preserve">факс (495) 607-42-92, </w:t>
      </w:r>
      <w:r>
        <w:rPr>
          <w:rStyle w:val="CharStyle8"/>
          <w:u w:val="single"/>
          <w:lang w:val="en-US" w:eastAsia="en-US"/>
        </w:rPr>
        <w:t>e-mail: to77@fas.gov.i~u</w:t>
      </w:r>
    </w:p>
    <w:p>
      <w:pPr>
        <w:pStyle w:val="Style11"/>
        <w:keepNext/>
        <w:keepLines/>
        <w:widowControl w:val="0"/>
        <w:shd w:val="clear" w:color="auto" w:fill="auto"/>
        <w:tabs>
          <w:tab w:pos="1998" w:val="left"/>
        </w:tabs>
        <w:bidi w:val="0"/>
        <w:spacing w:before="0" w:line="240" w:lineRule="auto"/>
        <w:ind w:left="0" w:right="0"/>
        <w:jc w:val="both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2"/>
          <w:u w:val="none"/>
        </w:rPr>
        <w:t>08.05</w:t>
      </w:r>
      <w:r>
        <w:rPr>
          <w:rStyle w:val="CharStyle12"/>
        </w:rPr>
        <w:t>.2026</w:t>
      </w:r>
      <w:r>
        <w:fldChar w:fldCharType="end"/>
      </w:r>
      <w:r>
        <w:rPr>
          <w:rStyle w:val="CharStyle12"/>
          <w:u w:val="none"/>
        </w:rPr>
        <w:tab/>
        <w:t xml:space="preserve">№ </w:t>
      </w:r>
      <w:r>
        <w:rPr>
          <w:rStyle w:val="CharStyle12"/>
        </w:rPr>
        <w:t>19474/26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left"/>
      </w:pPr>
      <w:r>
        <w:rPr>
          <w:rStyle w:val="CharStyle8"/>
        </w:rPr>
        <w:t xml:space="preserve">На№  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по делу № 077/06/105-5632/2026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о нарушении законодательства о контрактной системе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</w:rPr>
        <w:t>05.05.2026</w:t>
        <w:tab/>
        <w:t>г. Москва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Председательствующего – главного государственного инспектора отдела обжа</w:t>
        <w:softHyphen/>
        <w:t>лования государственных закупок А.А. Кутейникова,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Специалиста-эксперта отдела обжалования государственных закупок Е.С. Переверзевой,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рассмотрение жалоб проводилось дистанционно (посредством видео</w:t>
        <w:softHyphen/>
        <w:t>конференц-связи),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при участие представителей ГБУЗ «ГКБ имени В.М. Буянова ДЗМ»: С.А. Скрыпник (по дов. от 05.05.2026 №б/н), Д.М. Толмачева (по дов. от 05.05.2026 №б/н),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отсутствие представителей ООО «УМК», о времени и порядке заседания Комиссии Управления уведомленных надлежащим образом посредством размещения сведений в Единой информационной системе (далее — ЕИС),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rStyle w:val="CharStyle6"/>
        </w:rPr>
        <w:t>рассмотрев жалобы ООО «УМК» (далее — Заявитель) на действия ГБУЗ «ГКБ имени В.М. Буянова ДЗМ» (далее — Заказчик) при проведении электронных аукционов на право заключения государственных контрактов на поставку шовного материала (9), шовного материала (10) для оперблока ГБУЗ «ГКБ имени В.М. Буянова ДЗМ» (Закупки №№0373200052726000347, 0373200052726000348, 0373200052726000349) (далее – аукцион, электронный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  <w:b/>
          <w:bCs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Московское УФАС России поступили жалобы Заявителя на действия Заказчика при проведении вышеуказанных аукционов.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По результатам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Заявитель обжалует действия Заказчика, выразившиеся в утверждении положений извещений в нарушение законодательства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lang w:val="en-US" w:eastAsia="en-US"/>
        </w:rPr>
        <w:t xml:space="preserve">1. </w:t>
      </w:r>
      <w:r>
        <w:rPr>
          <w:rStyle w:val="CharStyle6"/>
        </w:rPr>
        <w:t xml:space="preserve">Согласно доводам жалоб Заказчиком неправомерно сформированы лоты закупаемых товаров из разных групп позиций Каталога товаров, работ, услуг для обеспечения государственных и муниципальных нужд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КТРУ) с кодами номенклатурной классификации медицинских изделий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НКМИ) неопределенного объема, в то время как следует разбить закупки на «монолоты».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П.2 ч.29 ст.34 Закона о контрактной системе установлено, что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П.1 Постановления Правительства Российской Федерации от </w:t>
      </w:r>
      <w:r>
        <w:rPr>
          <w:rStyle w:val="CharStyle6"/>
          <w:lang w:val="en-US" w:eastAsia="en-US"/>
        </w:rPr>
        <w:t xml:space="preserve">19.04.2021 № 620 </w:t>
      </w:r>
      <w:r>
        <w:rPr>
          <w:rStyle w:val="CharStyle6"/>
        </w:rPr>
        <w:t xml:space="preserve">«О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Постановление </w:t>
      </w:r>
      <w:r>
        <w:rPr>
          <w:rStyle w:val="CharStyle6"/>
          <w:lang w:val="en-US" w:eastAsia="en-US"/>
        </w:rPr>
        <w:t xml:space="preserve">№620) </w:t>
      </w:r>
      <w:r>
        <w:rPr>
          <w:rStyle w:val="CharStyle6"/>
        </w:rPr>
        <w:t>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lang w:val="en-US" w:eastAsia="en-US"/>
        </w:rPr>
        <w:t xml:space="preserve">600 </w:t>
      </w:r>
      <w:r>
        <w:rPr>
          <w:rStyle w:val="CharStyle6"/>
        </w:rPr>
        <w:t xml:space="preserve">тыс. рублей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6"/>
          <w:lang w:val="en-US" w:eastAsia="en-US"/>
        </w:rPr>
        <w:t xml:space="preserve">50 </w:t>
      </w:r>
      <w:r>
        <w:rPr>
          <w:rStyle w:val="CharStyle6"/>
        </w:rPr>
        <w:t>млн. рублей;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млн. рублей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6"/>
          <w:lang w:val="en-US" w:eastAsia="en-US"/>
        </w:rPr>
        <w:t xml:space="preserve">50 </w:t>
      </w:r>
      <w:r>
        <w:rPr>
          <w:rStyle w:val="CharStyle6"/>
        </w:rPr>
        <w:t xml:space="preserve">млн. рублей до </w:t>
      </w:r>
      <w:r>
        <w:rPr>
          <w:rStyle w:val="CharStyle6"/>
          <w:lang w:val="en-US" w:eastAsia="en-US"/>
        </w:rPr>
        <w:t xml:space="preserve">100 </w:t>
      </w:r>
      <w:r>
        <w:rPr>
          <w:rStyle w:val="CharStyle6"/>
        </w:rPr>
        <w:t>млн. рублей;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35" w:bottom="1440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lang w:val="en-US" w:eastAsia="en-US"/>
        </w:rPr>
        <w:t xml:space="preserve">1,5 </w:t>
      </w:r>
      <w:r>
        <w:rPr>
          <w:rStyle w:val="CharStyle6"/>
        </w:rPr>
        <w:t xml:space="preserve">млн. рублей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для заказчиков, у которых объем денежных средств,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направленных на закупку медицинских изделий в предшествующем году, составил более </w:t>
      </w:r>
      <w:r>
        <w:rPr>
          <w:rStyle w:val="CharStyle6"/>
          <w:lang w:val="en-US" w:eastAsia="en-US"/>
        </w:rPr>
        <w:t xml:space="preserve">100 </w:t>
      </w:r>
      <w:r>
        <w:rPr>
          <w:rStyle w:val="CharStyle6"/>
        </w:rPr>
        <w:t>млн. 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Согласно п.9 ч.1 ст.42 Закона о контрактной системе извещение об осуществлении закупки должно содержать информацию о, в том числе, начальной (максимальной) цене контракта (цене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Комиссией Управления определено, что предметами закупок является поставка следующих товаров с начальной (максимальной) ценой контрактов </w:t>
      </w:r>
      <w:r>
        <w:rPr>
          <w:rStyle w:val="CharStyle6"/>
          <w:lang w:val="en-US" w:eastAsia="en-US"/>
        </w:rPr>
        <w:t xml:space="preserve">1 499 000,00 </w:t>
      </w:r>
      <w:r>
        <w:rPr>
          <w:rStyle w:val="CharStyle6"/>
        </w:rPr>
        <w:t xml:space="preserve">руб, по закупке </w:t>
      </w:r>
      <w:r>
        <w:rPr>
          <w:rStyle w:val="CharStyle6"/>
          <w:lang w:val="en-US" w:eastAsia="en-US"/>
        </w:rPr>
        <w:t xml:space="preserve">№0373200052726000347: </w:t>
      </w:r>
      <w:r>
        <w:rPr>
          <w:rStyle w:val="CharStyle6"/>
        </w:rPr>
        <w:t xml:space="preserve">изделия «Нить хирургическая из полиглактина, антибактериальная» позиции КТРУ </w:t>
      </w:r>
      <w:r>
        <w:rPr>
          <w:rStyle w:val="CharStyle6"/>
          <w:lang w:val="en-US" w:eastAsia="en-US"/>
        </w:rPr>
        <w:t xml:space="preserve">21.20.24.120-00000006; </w:t>
      </w:r>
      <w:r>
        <w:rPr>
          <w:rStyle w:val="CharStyle6"/>
        </w:rPr>
        <w:t xml:space="preserve">«Нить хирургическая из полиэфира, рассасывающаяся, полинить» позиции КТРУ </w:t>
      </w:r>
      <w:r>
        <w:rPr>
          <w:rStyle w:val="CharStyle6"/>
          <w:lang w:val="en-US" w:eastAsia="en-US"/>
        </w:rPr>
        <w:t xml:space="preserve">21.20.24.120-00000011; </w:t>
      </w:r>
      <w:r>
        <w:rPr>
          <w:rStyle w:val="CharStyle6"/>
        </w:rPr>
        <w:t xml:space="preserve">«Нить хирургическая из полиэфира, рассасывающаяся, мононить» позиции КТРУ </w:t>
      </w:r>
      <w:r>
        <w:rPr>
          <w:rStyle w:val="CharStyle6"/>
          <w:lang w:val="en-US" w:eastAsia="en-US"/>
        </w:rPr>
        <w:t xml:space="preserve">21.20.24.120-00000004; </w:t>
      </w:r>
      <w:r>
        <w:rPr>
          <w:rStyle w:val="CharStyle6"/>
        </w:rPr>
        <w:t xml:space="preserve">«Нить хирургическая из полидиоксанона, антибактериальная» позиции КТРУ </w:t>
      </w:r>
      <w:r>
        <w:rPr>
          <w:rStyle w:val="CharStyle6"/>
          <w:lang w:val="en-US" w:eastAsia="en-US"/>
        </w:rPr>
        <w:t xml:space="preserve">21.20.24.120-00000003; </w:t>
      </w:r>
      <w:r>
        <w:rPr>
          <w:rStyle w:val="CharStyle6"/>
        </w:rPr>
        <w:t xml:space="preserve">«Нить хирургическая из полиглекапрона, антибактериальная» позиции КТРУ </w:t>
      </w:r>
      <w:r>
        <w:rPr>
          <w:rStyle w:val="CharStyle6"/>
          <w:lang w:val="en-US" w:eastAsia="en-US"/>
        </w:rPr>
        <w:t xml:space="preserve">21.20.24.120-00000010; </w:t>
      </w:r>
      <w:r>
        <w:rPr>
          <w:rStyle w:val="CharStyle6"/>
        </w:rPr>
        <w:t xml:space="preserve">«Нить хирургическая из полиолефина, мононить» позиции КТРУ </w:t>
      </w:r>
      <w:r>
        <w:rPr>
          <w:rStyle w:val="CharStyle6"/>
          <w:lang w:val="en-US" w:eastAsia="en-US"/>
        </w:rPr>
        <w:t xml:space="preserve">21.20.24.120-00000028; </w:t>
      </w:r>
      <w:r>
        <w:rPr>
          <w:rStyle w:val="CharStyle6"/>
        </w:rPr>
        <w:t xml:space="preserve">«Нить хирургическая полиамидная, нерассасывающаяся, полинить» позиции КТРУ </w:t>
      </w:r>
      <w:r>
        <w:rPr>
          <w:rStyle w:val="CharStyle6"/>
          <w:lang w:val="en-US" w:eastAsia="en-US"/>
        </w:rPr>
        <w:t>21.20.24.120-00000018.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Аналогичным образом сформированы позиции описания объектов закупок из позиций различных товаров по закупочным процедурам </w:t>
      </w:r>
      <w:r>
        <w:rPr>
          <w:rStyle w:val="CharStyle6"/>
          <w:lang w:val="en-US" w:eastAsia="en-US"/>
        </w:rPr>
        <w:t>№№0373200052726000348, 0373200052726000349.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На заседании Комиссии Управления представитель Заказчика пояснил, что предметом спорных закупок является поставка шовного материала для оперблока многопрофильного медицинского учреждения. Шовный материал закупается не для одного кабинета и не для одной типовой операции, а для обеспечения деятельности учреждения в целом, включающего более </w:t>
      </w:r>
      <w:r>
        <w:rPr>
          <w:rStyle w:val="CharStyle6"/>
          <w:lang w:val="en-US" w:eastAsia="en-US"/>
        </w:rPr>
        <w:t xml:space="preserve">20 </w:t>
      </w:r>
      <w:r>
        <w:rPr>
          <w:rStyle w:val="CharStyle6"/>
        </w:rPr>
        <w:t xml:space="preserve">отделений. При этом при сопоставление спорных закупок именно по совокупности характеристик показывает, что, например, закупка </w:t>
      </w:r>
      <w:r>
        <w:rPr>
          <w:rStyle w:val="CharStyle6"/>
          <w:lang w:val="en-US" w:eastAsia="en-US"/>
        </w:rPr>
        <w:t xml:space="preserve">№ 0373200052726000347 </w:t>
      </w:r>
      <w:r>
        <w:rPr>
          <w:rStyle w:val="CharStyle6"/>
        </w:rPr>
        <w:t xml:space="preserve">содержит конкретные товарные позиции с совокупными характеристиками, которые отсутствуют в закупках </w:t>
      </w:r>
      <w:r>
        <w:rPr>
          <w:rStyle w:val="CharStyle6"/>
          <w:lang w:val="en-US" w:eastAsia="en-US"/>
        </w:rPr>
        <w:t xml:space="preserve">№ 0373200052726000348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№ 0373200052726000349. </w:t>
      </w:r>
      <w:r>
        <w:rPr>
          <w:rStyle w:val="CharStyle6"/>
        </w:rPr>
        <w:t>Указанное обстоятельство прямо опровергает утверждение подателя жалоб об абсолютной идентичности всех трех спорных закупок.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Комиссией Управления установлено, что, согласно извещениям о проведении электронных аукционов, начальная (максимальная) цена контрактов обжалуемых закупок составляет менее </w:t>
      </w:r>
      <w:r>
        <w:rPr>
          <w:rStyle w:val="CharStyle6"/>
          <w:lang w:val="en-US" w:eastAsia="en-US"/>
        </w:rPr>
        <w:t xml:space="preserve">1,5 </w:t>
      </w:r>
      <w:r>
        <w:rPr>
          <w:rStyle w:val="CharStyle6"/>
        </w:rPr>
        <w:t>млн. 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2" w:right="535" w:bottom="1440" w:left="1102" w:header="0" w:footer="1012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Вместе с этим на заседании Комиссии Управления представителем Заявителя не представлено документов и сведений, свидетельствующих об ограничении количества участников аукционов при включении в один лот закупаемых </w:t>
      </w:r>
      <w:r>
        <w:rPr>
          <w:rStyle w:val="CharStyle6"/>
          <w:sz w:val="24"/>
          <w:szCs w:val="24"/>
          <w:lang w:val="en-US" w:eastAsia="en-US"/>
        </w:rPr>
        <w:t>2026-22694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Заказчиком видов медицинских изделий.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На основании вышеизложенного у Комиссии Управления отсутствуют правовые основания для признания Заказчика нарушившим положения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lang w:val="en-US" w:eastAsia="en-US"/>
        </w:rPr>
        <w:t xml:space="preserve">2. </w:t>
      </w:r>
      <w:r>
        <w:rPr>
          <w:rStyle w:val="CharStyle6"/>
        </w:rPr>
        <w:t>Также в составе в жалоб Заявитель указывает, что Заказчиком закупаются медицинские изделия с различными характеристиками при этом закупка осуществляется в соответствии с ч.24 ст.22 Закона о контрактной системе, что, по мнению Заявителя, влечет за собой ограничение количества участников закупки, поскольку необходимыми запасами располагают исключительно крупные дистрибьюторы и является приемлемым для поставщиков, осуществляющих свою деятельность в непосредственной территориальной близости от Заказчика.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Согласно ч.24 ст.22 Закона о контрактной системе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ст.19 Закона о контрактной системе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Закона о контрактной системе, касающиеся применения начальной (максимальной) цены контракта, в том числе для расчета размера обеспечения заявки или обеспечения исполнения контракта, применяются к максимальному значению цены контракта, если Законом о контрактной системе не установлено иное.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Комиссией Управления установлено, что, согласно извещению об осуществлении закупки, конкурентная процедура осуществляется Заказчиком в соответствии с ч.24 ст.22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Вместе с этом Комиссия Управления отмечает, что осуществление закупки товара, работы, услуги неопределенного объема прямо предусмотрено ч.24 ст.22 Закона о контрактной системе, при этом Законом о контрактной системе не установлен запрет на объединение в один лот нескольких изделий при осуществлении закупки в соответствии с ч.24 ст.22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Также Комиссия Управления отмечает, что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При этом Закон о контрактной системе не вменяет Заказчикам обязанность обеспечить возможность участия в закупочной процедуре всех хозяйствующих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субъектов оценивая их производственные мощности при планировании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Вместе с этим в составе жалоб Заявителем, не представлено документов свидетельствующих о невозможности подачи заявки на участие в конкурентных процедурах, об ограничении количества участников закупки, при установлении оспариваемых требований, равно как не представлено доказательств того обстоятельства, что Заказчиком в составе описании объекта закупки установлены неисполнимые условия поставки товара, а также нет документального подтверждения указывающего на то, что в установленные Заказчиком условия поставки товара представляет преимущество конкретному участнику закупки.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Таким образом, Заявителем не представлено документов и сведений, подтверждающих обоснованность вышеуказанных доводов жалоб, в том числе в части невозможности подготовить заявку на участие в закупочной процедуре, а также свидетельствующих о нарушении Заказчиком норм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Исходя из вышеизложенного у Комиссии Управления отсутствуют правовые основания для признания Заказчика нарушившим положения Закона о контрактной системе. 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2" w:bottom="1757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1.Признать жалобы ООО «УМК» на действия ГБУЗ «ГКБ имени В.М Буянова ДЗМ» необоснованными.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6"/>
        </w:rPr>
        <w:t>2.Снять ограничения, наложенные на определение поставщика (подрядчика, исполнителя).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(трех) месяцев с даты его принятия в порядке, установленном гл. </w:t>
      </w:r>
      <w:r>
        <w:rPr>
          <w:rStyle w:val="CharStyle6"/>
          <w:lang w:val="en-US" w:eastAsia="en-US"/>
        </w:rPr>
        <w:t xml:space="preserve">24 </w:t>
      </w:r>
      <w:r>
        <w:rPr>
          <w:rStyle w:val="CharStyle6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27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416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26.pt;width:145.20000000000002pt;height:19.900000000000002pt;z-index:-125829371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4335" distB="0" distL="0" distR="1786255" simplePos="0" relativeHeight="125829384" behindDoc="0" locked="0" layoutInCell="1" allowOverlap="1">
            <wp:simplePos x="0" y="0"/>
            <wp:positionH relativeFrom="page">
              <wp:posOffset>3043555</wp:posOffset>
            </wp:positionH>
            <wp:positionV relativeFrom="paragraph">
              <wp:posOffset>394335</wp:posOffset>
            </wp:positionV>
            <wp:extent cx="365760" cy="53022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3512820</wp:posOffset>
                </wp:positionH>
                <wp:positionV relativeFrom="paragraph">
                  <wp:posOffset>808990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6.60000000000002pt;margin-top:63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3470275</wp:posOffset>
                </wp:positionH>
                <wp:positionV relativeFrom="paragraph">
                  <wp:posOffset>492125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7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25pt;margin-top:38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7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7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41630" distL="0" distR="0" simplePos="0" relativeHeight="125829385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330200</wp:posOffset>
                </wp:positionV>
                <wp:extent cx="1307465" cy="2527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5.25pt;margin-top:26.pt;width:102.95pt;height:19.900000000000002pt;z-index:-125829368;mso-wrap-distance-left:0;mso-wrap-distance-top:2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Кутейников Антон Андреевич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67950889C45403E5BD9EBC88A8D80C0D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>Действителен с 19.05.2025 по 12.08.2026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5978525</wp:posOffset>
                </wp:positionH>
                <wp:positionV relativeFrom="paragraph">
                  <wp:posOffset>266700</wp:posOffset>
                </wp:positionV>
                <wp:extent cx="1240790" cy="250190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0.75pt;margin-top:21.pt;width:97.700000000000003pt;height:19.699999999999999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М.В. Сорбучева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6"/>
        </w:rPr>
        <w:t>Члены Комиссии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360" w:right="0" w:firstLine="0"/>
        <w:jc w:val="left"/>
      </w:pPr>
      <w:r>
        <w:rPr>
          <w:rStyle w:val="CharStyle25"/>
        </w:rPr>
        <w:t xml:space="preserve">Подлинник электронного документа, подписанного </w:t>
      </w:r>
      <w:r>
        <w:rPr>
          <w:rStyle w:val="CharStyle25"/>
          <w:color w:val="000000"/>
        </w:rPr>
        <w:t xml:space="preserve">ЭП, </w:t>
      </w:r>
      <w:r>
        <w:rPr>
          <w:rStyle w:val="CharStyle25"/>
        </w:rPr>
        <w:t>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40" w:right="0" w:firstLine="0"/>
        <w:jc w:val="left"/>
        <w:rPr>
          <w:sz w:val="12"/>
          <w:szCs w:val="12"/>
        </w:rPr>
      </w:pPr>
      <w:r>
        <w:rPr>
          <w:rStyle w:val="CharStyle25"/>
          <w:color w:val="E7E7E7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СОРБУЧЕВА МАРИЯ ВАСИЛЬЕВНА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6EBF6CE6C27B6345D47DBCD40C7FA5FD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1"/>
        </w:rPr>
        <w:t>Действителен с 19.09.2025 по 13.12.2026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7860" simplePos="0" relativeHeight="125829389" behindDoc="0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3470275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7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7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3.2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7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7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Е.С. Переверзева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40" w:right="0" w:firstLine="0"/>
        <w:jc w:val="left"/>
        <w:rPr>
          <w:sz w:val="12"/>
          <w:szCs w:val="12"/>
        </w:rPr>
      </w:pPr>
      <w:r>
        <w:rPr>
          <w:rStyle w:val="CharStyle25"/>
          <w:color w:val="E7E7E7"/>
          <w:sz w:val="12"/>
          <w:szCs w:val="12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Кому выдан: </w:t>
      </w:r>
      <w:r>
        <w:rPr>
          <w:rStyle w:val="CharStyle21"/>
          <w:color w:val="000000"/>
        </w:rPr>
        <w:t>ПЕРЕВЕРЗЕВА ЕЛИЗАВЕТА СЕРГЕЕВНА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1"/>
        </w:rPr>
        <w:t xml:space="preserve">Сертификат </w:t>
      </w:r>
      <w:r>
        <w:rPr>
          <w:rStyle w:val="CharStyle21"/>
          <w:color w:val="2A2A2A"/>
        </w:rPr>
        <w:t xml:space="preserve">№ </w:t>
      </w:r>
      <w:r>
        <w:rPr>
          <w:rStyle w:val="CharStyle21"/>
          <w:lang w:val="en-US" w:eastAsia="en-US"/>
        </w:rPr>
        <w:t>00FFF3ACD3A01A73F4C680C3941E3CA026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rStyle w:val="CharStyle21"/>
        </w:rPr>
        <w:t>Действителен с 11.12.2025 по 06.03.2027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9"/>
        </w:rPr>
        <w:t>Исп.Сорбучева М.В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6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9774555</wp:posOffset>
              </wp:positionV>
              <wp:extent cx="72834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769.64999999999998pt;width:57.35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10247630</wp:posOffset>
              </wp:positionV>
              <wp:extent cx="716280" cy="9461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806.89999999999998pt;width:56.399999999999999pt;height:7.4500000000000002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9774555</wp:posOffset>
              </wp:positionV>
              <wp:extent cx="728345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2026-22694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69.64999999999998pt;width:57.35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2026-22694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3025" cy="850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7.5pt;width:5.75pt;height:6.7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418465</wp:posOffset>
              </wp:positionV>
              <wp:extent cx="67310" cy="1066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15000000000003pt;margin-top:32.950000000000003pt;width:5.2999999999999998pt;height:8.4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3025" cy="8509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pt;margin-top:37.5pt;width:5.75pt;height:6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2">
    <w:name w:val="Heading #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9">
    <w:name w:val="Body text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150"/>
      <w:ind w:left="670" w:firstLine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auto"/>
      <w:spacing w:after="320"/>
      <w:ind w:firstLine="1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  <w:ind w:left="37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00"/>
      <w:ind w:left="44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8">
    <w:name w:val="Body text (5)"/>
    <w:basedOn w:val="Normal"/>
    <w:link w:val="CharStyle29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