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165100" distB="165100" distL="165100" distR="165100" simplePos="0" relativeHeight="125829378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12700</wp:posOffset>
                </wp:positionV>
                <wp:extent cx="2706370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</w:rPr>
                              <w:t>5.05.2026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</w:rPr>
                              <w:t xml:space="preserve">№ </w:t>
                            </w:r>
                            <w:r>
                              <w:rPr>
                                <w:rStyle w:val="CharStyle10"/>
                                <w:u w:val="single"/>
                              </w:rPr>
                              <w:t>МЧ/1635/2</w:t>
                            </w:r>
                            <w:r>
                              <w:rPr>
                                <w:rStyle w:val="CharStyle10"/>
                              </w:rPr>
                              <w:t>6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8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99999999999999pt;margin-top:1.pt;width:213.09999999999999pt;height:245.05000000000001pt;z-index:-125829375;mso-wrap-distance-left:13.pt;mso-wrap-distance-top:13.pt;mso-wrap-distance-right:13.pt;mso-wrap-distance-bottom:1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</w:rPr>
                        <w:t>5.05.2026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</w:rPr>
                        <w:t xml:space="preserve">№ </w:t>
                      </w:r>
                      <w:r>
                        <w:rPr>
                          <w:rStyle w:val="CharStyle10"/>
                          <w:u w:val="single"/>
                        </w:rPr>
                        <w:t>МЧ/1635/2</w:t>
                      </w:r>
                      <w:r>
                        <w:rPr>
                          <w:rStyle w:val="CharStyle10"/>
                        </w:rPr>
                        <w:t>6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8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Государственное казенное учреждение «Курганавтодор»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640002, Курганская обл., г. Курган,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Володарского, д. 103, оф.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"mailto:avtodor@kurganobl.ru" </w:instrText>
      </w:r>
      <w:r>
        <w:fldChar w:fldCharType="separate"/>
      </w:r>
      <w:r>
        <w:rPr>
          <w:rStyle w:val="CharStyle14"/>
          <w:lang w:val="en-US" w:eastAsia="en-US"/>
        </w:rPr>
        <w:t>avtodor@kurganobl.ru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"mailto:kad_gma@kurganobl.ru" </w:instrText>
      </w:r>
      <w:r>
        <w:fldChar w:fldCharType="separate"/>
      </w:r>
      <w:r>
        <w:rPr>
          <w:rStyle w:val="CharStyle14"/>
          <w:lang w:val="en-US" w:eastAsia="en-US"/>
        </w:rPr>
        <w:t>kad_gma@kurganobl.ru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640003, Курганская область, г. Курган, ул. 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Зорге, д. 20, оф.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"mailto:ugz@kurganobl.ru" </w:instrText>
      </w:r>
      <w:r>
        <w:fldChar w:fldCharType="separate"/>
      </w:r>
      <w:r>
        <w:rPr>
          <w:rStyle w:val="CharStyle14"/>
          <w:lang w:val="en-US" w:eastAsia="en-US"/>
        </w:rPr>
        <w:t>ugz@kurganobl.ru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ОБЩЕСТВО С ОГРАНИЧЕННОЙ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</w:pPr>
      <w:r>
        <w:rPr>
          <w:rStyle w:val="CharStyle14"/>
        </w:rPr>
        <w:t>ОТВЕТСТВЕННОСТЬЮ "ДОРОЖНО</w:t>
        <w:softHyphen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</w:pPr>
      <w:r>
        <w:rPr>
          <w:rStyle w:val="CharStyle14"/>
        </w:rPr>
        <w:t>ЭКСПЛУАТАЦИОННОЕ ПРЕДПРИЯТИЕ № 17" 155251, ИВАНОВСКАЯ ОБЛАСТЬ, Р-Н РОДНИКОВСКИЙ, Г РОДНИКИ, ПР-Д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600" w:right="0" w:firstLine="0"/>
        <w:jc w:val="left"/>
      </w:pPr>
      <w:r>
        <w:rPr>
          <w:rStyle w:val="CharStyle14"/>
        </w:rPr>
        <w:t xml:space="preserve">МАЛЫШЕВСКИЙ, Д. 3 </w:t>
      </w:r>
      <w:r>
        <w:fldChar w:fldCharType="begin"/>
      </w:r>
      <w:r>
        <w:rPr/>
        <w:instrText> HYPERLINK "mailto:dep-17@mail.ru" </w:instrText>
      </w:r>
      <w:r>
        <w:fldChar w:fldCharType="separate"/>
      </w:r>
      <w:r>
        <w:rPr>
          <w:rStyle w:val="CharStyle14"/>
          <w:lang w:val="en-US" w:eastAsia="en-US"/>
        </w:rPr>
        <w:t>dep-17@mail.ru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"mailto:dep17buh@mail.ru" </w:instrText>
      </w:r>
      <w:r>
        <w:fldChar w:fldCharType="separate"/>
      </w:r>
      <w:r>
        <w:rPr>
          <w:rStyle w:val="CharStyle14"/>
          <w:lang w:val="en-US" w:eastAsia="en-US"/>
        </w:rPr>
        <w:t>dep17buh@mail.ru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по делу о нарушении законодательства о контрактной системе</w:t>
        <w:br/>
        <w:t>в сфере закупок № 045/06/105-229/2026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5998845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2.35000000000002pt;margin-top:1.pt;width:51.350000000000001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06.05.2026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– Комиссия Курганского УФАС России,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Заместитель Председателя Комиссии: Чеботина М.П. -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Базанова М.Ю. - ведущий специалист-эксперт отдела контроля закупок и антимонопольного регулирования органов власти Курганского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rStyle w:val="CharStyle14"/>
        </w:rPr>
        <w:t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Закон), рассмотрев жалобу Общества с ограниченной ответственностью «ДОРОЖНО</w:t>
        <w:softHyphen/>
        <w:t>ЭКСПЛУАТАЦИОННОЕ ПРЕДПРИЯТИЕ № 17» (далее – Общество, Заявитель) (вх. № 2255/26 от 29.04.2026) на действия комиссии по осуществлению закупок Государственного казенного учреждения «Курганавтодор» (далее – ГКУ «Курганавтодор», Заказчик), Государственного казенного учреждения «Центр закупок и бухгалтерского учета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4"/>
        </w:rPr>
        <w:t>1IIIIIIIIIIIIIIIIIIIIIII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tabs>
          <w:tab w:pos="36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Курганской области»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ГКУ «Центр закупок и бухгалтерского учета Курганской области», Уполномоченное учреждение) при осуществлении закупки путем проведения открытого конкурса в электронной форме, объект закупки Выполнение работ по ремонту автомобильной дороги Сарт-Абдрашево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Баязитово в Сафакулевском муниципальном округе Курганской области (приведение в нормативное состояние грунтовых и щебеночных участков) (извещение </w:t>
      </w:r>
      <w:r>
        <w:rPr>
          <w:rStyle w:val="CharStyle14"/>
          <w:lang w:val="en-US" w:eastAsia="en-US"/>
        </w:rPr>
        <w:t>№</w:t>
        <w:tab/>
        <w:t xml:space="preserve">0843500000226001385), </w:t>
      </w:r>
      <w:r>
        <w:rPr>
          <w:rStyle w:val="CharStyle14"/>
        </w:rPr>
        <w:t>в присутствии посредством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4"/>
        </w:rPr>
        <w:t>видеоконференц-связи представителей Уполномоченного учреждения, Заявителя, Заказчика,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Курганское УФАС России поступила жалоба Заявителя, принята к рассмотрению в порядке главы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доводам Заявителя, Общество приняло участие в закупке </w:t>
      </w:r>
      <w:r>
        <w:rPr>
          <w:rStyle w:val="CharStyle14"/>
          <w:lang w:val="en-US" w:eastAsia="en-US"/>
        </w:rPr>
        <w:t xml:space="preserve">№ 0843500000226001385, </w:t>
      </w:r>
      <w:r>
        <w:rPr>
          <w:rStyle w:val="CharStyle14"/>
        </w:rPr>
        <w:t xml:space="preserve">заявке на участие в открытом конкурсе в электронной форме оператором электронной площадки был присвоен идентификационный номер </w:t>
      </w:r>
      <w:r>
        <w:rPr>
          <w:rStyle w:val="CharStyle14"/>
          <w:lang w:val="en-US" w:eastAsia="en-US"/>
        </w:rPr>
        <w:t>3064201.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 xml:space="preserve">№ 0843500000226001385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23.04.2026 </w:t>
      </w:r>
      <w:r>
        <w:rPr>
          <w:rStyle w:val="CharStyle14"/>
        </w:rPr>
        <w:t xml:space="preserve">заявке </w:t>
      </w:r>
      <w:r>
        <w:rPr>
          <w:rStyle w:val="CharStyle14"/>
          <w:lang w:val="en-US" w:eastAsia="en-US"/>
        </w:rPr>
        <w:t xml:space="preserve">№ 3064201 </w:t>
      </w:r>
      <w:r>
        <w:rPr>
          <w:rStyle w:val="CharStyle14"/>
        </w:rPr>
        <w:t xml:space="preserve">(Заявитель) по совокупности критериев присвоено </w:t>
      </w:r>
      <w:r>
        <w:rPr>
          <w:rStyle w:val="CharStyle14"/>
          <w:lang w:val="en-US" w:eastAsia="en-US"/>
        </w:rPr>
        <w:t xml:space="preserve">80,00 </w:t>
      </w:r>
      <w:r>
        <w:rPr>
          <w:rStyle w:val="CharStyle14"/>
        </w:rPr>
        <w:t>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Заявке </w:t>
      </w:r>
      <w:r>
        <w:rPr>
          <w:rStyle w:val="CharStyle14"/>
          <w:lang w:val="en-US" w:eastAsia="en-US"/>
        </w:rPr>
        <w:t xml:space="preserve">№ 3116400 </w:t>
      </w:r>
      <w:r>
        <w:rPr>
          <w:rStyle w:val="CharStyle14"/>
        </w:rPr>
        <w:t xml:space="preserve">комиссией по осуществлению закупок также присвоено </w:t>
      </w:r>
      <w:r>
        <w:rPr>
          <w:rStyle w:val="CharStyle14"/>
          <w:lang w:val="en-US" w:eastAsia="en-US"/>
        </w:rPr>
        <w:t xml:space="preserve">80,00 </w:t>
      </w:r>
      <w:r>
        <w:rPr>
          <w:rStyle w:val="CharStyle14"/>
        </w:rPr>
        <w:t xml:space="preserve">баллов. Участник закупки, подавший заявку с номером </w:t>
      </w:r>
      <w:r>
        <w:rPr>
          <w:rStyle w:val="CharStyle14"/>
          <w:lang w:val="en-US" w:eastAsia="en-US"/>
        </w:rPr>
        <w:t xml:space="preserve">3116400 </w:t>
      </w:r>
      <w:r>
        <w:rPr>
          <w:rStyle w:val="CharStyle14"/>
        </w:rPr>
        <w:t xml:space="preserve">признан победителем конкурса, вопреки тому, что заявка Общества под </w:t>
      </w:r>
      <w:r>
        <w:rPr>
          <w:rStyle w:val="CharStyle14"/>
          <w:lang w:val="en-US" w:eastAsia="en-US"/>
        </w:rPr>
        <w:t xml:space="preserve">№ 3064201 </w:t>
      </w:r>
      <w:r>
        <w:rPr>
          <w:rStyle w:val="CharStyle14"/>
        </w:rPr>
        <w:t xml:space="preserve">содержала лучшие условия по цене контракта (при равных условиях по квалификации). В составе заявки Общества было указано предложение о цене контракта равное </w:t>
      </w:r>
      <w:r>
        <w:rPr>
          <w:rStyle w:val="CharStyle14"/>
          <w:lang w:val="en-US" w:eastAsia="en-US"/>
        </w:rPr>
        <w:t xml:space="preserve">39 904 271,29 </w:t>
      </w:r>
      <w:r>
        <w:rPr>
          <w:rStyle w:val="CharStyle14"/>
        </w:rPr>
        <w:t xml:space="preserve">рубль, а в заявке с </w:t>
      </w:r>
      <w:r>
        <w:rPr>
          <w:rStyle w:val="CharStyle14"/>
          <w:lang w:val="en-US" w:eastAsia="en-US"/>
        </w:rPr>
        <w:t xml:space="preserve">№ 3116400 </w:t>
      </w:r>
      <w:r>
        <w:rPr>
          <w:rStyle w:val="CharStyle14"/>
        </w:rPr>
        <w:t xml:space="preserve">указано следующее ценовое предложение: </w:t>
      </w:r>
      <w:r>
        <w:rPr>
          <w:rStyle w:val="CharStyle14"/>
          <w:lang w:val="en-US" w:eastAsia="en-US"/>
        </w:rPr>
        <w:t xml:space="preserve">39 904 271,30 </w:t>
      </w:r>
      <w:r>
        <w:rPr>
          <w:rStyle w:val="CharStyle14"/>
        </w:rPr>
        <w:t>рубль.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Заявитель считает, что при различных предложениях о цене контракта члены комиссии по осуществлению закупок не имели права присваивать обеим заявкам одинаковое количество баллов.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члены комиссии нарушили порядок оценки заявок, установленный извещением, порядок оценки заявок, установленный законодательством о закупках: требования 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24, </w:t>
      </w:r>
      <w:r>
        <w:rPr>
          <w:rStyle w:val="CharStyle14"/>
        </w:rPr>
        <w:t xml:space="preserve">подпунктов «а» и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системе, требования подпункта «а» пункта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II. </w:t>
      </w:r>
      <w:r>
        <w:rPr>
          <w:rStyle w:val="CharStyle14"/>
        </w:rPr>
        <w:t xml:space="preserve">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Федерации от </w:t>
      </w:r>
      <w:r>
        <w:rPr>
          <w:rStyle w:val="CharStyle14"/>
          <w:lang w:val="en-US" w:eastAsia="en-US"/>
        </w:rPr>
        <w:t>31.12.2021 № 2604.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Представители Уполномоченного учреждения, Заказчика на заседании Комиссии Управления не согласились с доводом Заявителя и сообщили, что при проведении Конкурса комиссия по осуществлению закупок действовала в соответствии с законодательством Российской Федерации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Комиссией Курганского УФАС России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 Извещением, протоколами, составленными в ходе проведения Конкурса: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размещено в ЕИС </w:t>
      </w:r>
      <w:r>
        <w:rPr>
          <w:rStyle w:val="CharStyle14"/>
          <w:lang w:val="en-US" w:eastAsia="en-US"/>
        </w:rPr>
        <w:t>– 24.03.2026;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способ определения поставщика (подрядчика, исполнителя)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открытый конкурс в электронной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- 45 345 762,83 </w:t>
      </w:r>
      <w:r>
        <w:rPr>
          <w:rStyle w:val="CharStyle14"/>
        </w:rPr>
        <w:t>рублей;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окончания срока подачи заявок на участие в Конкурсе </w:t>
      </w:r>
      <w:r>
        <w:rPr>
          <w:rStyle w:val="CharStyle14"/>
          <w:lang w:val="en-US" w:eastAsia="en-US"/>
        </w:rPr>
        <w:t>- 20.04.2026;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180" w:line="240" w:lineRule="auto"/>
        <w:ind w:left="0" w:right="0" w:firstLine="720"/>
        <w:jc w:val="both"/>
      </w:pPr>
      <w:r>
        <w:rPr>
          <w:rStyle w:val="CharStyle14"/>
        </w:rPr>
        <w:t xml:space="preserve">дата окончания срока рассмотрения и оценки вторых частей заявок </w:t>
      </w:r>
      <w:r>
        <w:rPr>
          <w:rStyle w:val="CharStyle14"/>
          <w:lang w:val="en-US" w:eastAsia="en-US"/>
        </w:rPr>
        <w:t>— 22.04.2026;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— 23.04.2026;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участие в Конкурсе поданы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заявок (из них соответствует требованиям: </w:t>
      </w:r>
      <w:r>
        <w:rPr>
          <w:rStyle w:val="CharStyle14"/>
          <w:lang w:val="en-US" w:eastAsia="en-US"/>
        </w:rPr>
        <w:t xml:space="preserve">8; </w:t>
      </w:r>
      <w:r>
        <w:rPr>
          <w:rStyle w:val="CharStyle14"/>
        </w:rPr>
        <w:t xml:space="preserve">отклонено: </w:t>
      </w:r>
      <w:r>
        <w:rPr>
          <w:rStyle w:val="CharStyle14"/>
          <w:lang w:val="en-US" w:eastAsia="en-US"/>
        </w:rPr>
        <w:t>1);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победителем Конкурса признан участник с идентификационным номером </w:t>
      </w:r>
      <w:r>
        <w:rPr>
          <w:rStyle w:val="CharStyle14"/>
          <w:lang w:val="en-US" w:eastAsia="en-US"/>
        </w:rPr>
        <w:t xml:space="preserve">3116400 </w:t>
      </w:r>
      <w:r>
        <w:rPr>
          <w:rStyle w:val="CharStyle14"/>
        </w:rPr>
        <w:t xml:space="preserve">с предложением о цене контракта в размере </w:t>
      </w:r>
      <w:r>
        <w:rPr>
          <w:rStyle w:val="CharStyle14"/>
          <w:lang w:val="en-US" w:eastAsia="en-US"/>
        </w:rPr>
        <w:t xml:space="preserve">39 904 271,30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доводу Заявителя комиссией по осуществлению закупок ненадлежащим образом применен Порядок оценки в отношении заявок участников Конкурса в связи с округлением присвоенных баллов по критерию «Цена контракта, сумма цен единиц товара, работы, услуги»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Критерий).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 для оценки заявок участников закупки заказчик использует критерий «цена контракта, сумма цен единиц товара, работы, услуги».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Не допускается использование заказчиком не предусмотренных статьей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Закона о контрактной системе критериев или их величин значимости, установленных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Закона о контрактной системе и в соответствии с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Закона о контрактной системе. В случае невыполнения заказчиком требования настоящей части определение поставщика (подрядчика, исполнителя) может быть признано недействительным по иску участника или участников закупки (часть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РФ от </w:t>
      </w:r>
      <w:r>
        <w:rPr>
          <w:rStyle w:val="CharStyle14"/>
          <w:lang w:val="en-US" w:eastAsia="en-US"/>
        </w:rPr>
        <w:t xml:space="preserve">31.12.2021 № 2604 </w:t>
      </w:r>
      <w:r>
        <w:rPr>
          <w:rStyle w:val="CharStyle14"/>
        </w:rPr>
        <w:t xml:space="preserve">«Об оценке заявок на участие в закупке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2604) </w:t>
      </w:r>
      <w:r>
        <w:rPr>
          <w:rStyle w:val="CharStyle14"/>
        </w:rPr>
        <w:t xml:space="preserve">утверждено положение, устанавливающее порядок оценки заявок на участие в закупке товаров, работ, услуг для обеспечения государственных и муниципальных нужд, предельные величины значимости критериев оценки заявок, а также требования к форме документа, предусмотренного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этой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этой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(если такой критерий установлен извещением об осуществлении закупки);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Управления установлено, что оценка заявок участников закупки осуществлялась на основании порядка оценки заявок, разработанного в соответствии с Постановлением </w:t>
      </w:r>
      <w:r>
        <w:rPr>
          <w:rStyle w:val="CharStyle14"/>
          <w:lang w:val="en-US" w:eastAsia="en-US"/>
        </w:rPr>
        <w:t xml:space="preserve">№ 2604 </w:t>
      </w:r>
      <w:r>
        <w:rPr>
          <w:rStyle w:val="CharStyle14"/>
        </w:rPr>
        <w:t>и размещенного в составе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Как пояснил представитель Уполномоченного учреждения по критерию оценки «Цена контракта, сумма цен единиц товара, работы, услуги» предусмотрены формулы, в соответствии с которыми определялось значение количества баллов по соответствующему критерию.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Который также отметил, что законодательством Российской Федерации не установлено единых правил округления чисел, выраженных в десятичной системе счисления. Учитывая изложенное, комиссия по осуществлению закупок самостоятельно определяет порядок округления числовых значений, используемых при оценке заявок участников закупки. В связи с чем, при оценке заявок участников закупки, комиссия по осуществлению закупок воспользовалась правилом математического округления чисел.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по осуществлению закупок, получившей дробные итоговые числовые значения оценки заявок по критерию «Цена контракта», с учетом значимости критерия, в отношении заявок </w:t>
      </w:r>
      <w:r>
        <w:rPr>
          <w:rStyle w:val="CharStyle14"/>
          <w:lang w:val="en-US" w:eastAsia="en-US"/>
        </w:rPr>
        <w:t xml:space="preserve">№ 3116400 </w:t>
      </w:r>
      <w:r>
        <w:rPr>
          <w:rStyle w:val="CharStyle14"/>
        </w:rPr>
        <w:t xml:space="preserve">(победитель) и </w:t>
      </w:r>
      <w:r>
        <w:rPr>
          <w:rStyle w:val="CharStyle14"/>
          <w:lang w:val="en-US" w:eastAsia="en-US"/>
        </w:rPr>
        <w:t xml:space="preserve">№ 3064201 </w:t>
      </w:r>
      <w:r>
        <w:rPr>
          <w:rStyle w:val="CharStyle14"/>
        </w:rPr>
        <w:t xml:space="preserve">(Заявитель), имеющих более двух знаков в дробной части, было осуществлено округление полученных значений до двух знаков после запятой, после проведения которого были получены равные значения баллов для обоих указанных участников </w:t>
      </w:r>
      <w:r>
        <w:rPr>
          <w:rStyle w:val="CharStyle14"/>
          <w:lang w:val="en-US" w:eastAsia="en-US"/>
        </w:rPr>
        <w:t>- 40,00.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Отметим также, что функционалом ЕИС предусмотрено указание информации относительно значимости критериев оценки конкурсных заявок в виде чисел, имеющих два знака после запятой, в подтверждение данной позиции Уполномоченным учреждением представлен скриншот из личного кабинета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Пунктами </w:t>
      </w:r>
      <w:r>
        <w:rPr>
          <w:rStyle w:val="CharStyle14"/>
          <w:lang w:val="en-US" w:eastAsia="en-US"/>
        </w:rPr>
        <w:t xml:space="preserve">9, 10 </w:t>
      </w:r>
      <w:r>
        <w:rPr>
          <w:rStyle w:val="CharStyle14"/>
        </w:rPr>
        <w:t xml:space="preserve">Положения, утвержденного Постановлением </w:t>
      </w:r>
      <w:r>
        <w:rPr>
          <w:rStyle w:val="CharStyle14"/>
          <w:lang w:val="en-US" w:eastAsia="en-US"/>
        </w:rPr>
        <w:t xml:space="preserve">№ 2604 </w:t>
      </w:r>
      <w:r>
        <w:rPr>
          <w:rStyle w:val="CharStyle14"/>
        </w:rPr>
        <w:t>установлены формулы для расчета баллов, присваиваемых по критерию «цена контракта, сумма цен единиц товара, работы, услуги».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заседании Комиссии установлено, что Заказчиком в порядке рассмотрения и оценки заявок на участие в Конкурсе по критерию «Цена контракта, сумма цен единиц товара, работы, услуги» установлены формулы для расчета баллов, предусмотренные пунктами </w:t>
      </w:r>
      <w:r>
        <w:rPr>
          <w:rStyle w:val="CharStyle14"/>
          <w:lang w:val="en-US" w:eastAsia="en-US"/>
        </w:rPr>
        <w:t xml:space="preserve">9, 10 </w:t>
      </w:r>
      <w:r>
        <w:rPr>
          <w:rStyle w:val="CharStyle14"/>
        </w:rPr>
        <w:t xml:space="preserve">Положения, утвержденного Постановлением </w:t>
      </w:r>
      <w:r>
        <w:rPr>
          <w:rStyle w:val="CharStyle14"/>
          <w:lang w:val="en-US" w:eastAsia="en-US"/>
        </w:rPr>
        <w:t>№ 2604.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23.04.2026 </w:t>
      </w:r>
      <w:r>
        <w:rPr>
          <w:rStyle w:val="CharStyle14"/>
        </w:rPr>
        <w:t xml:space="preserve">заявке </w:t>
      </w:r>
      <w:r>
        <w:rPr>
          <w:rStyle w:val="CharStyle14"/>
          <w:lang w:val="en-US" w:eastAsia="en-US"/>
        </w:rPr>
        <w:t xml:space="preserve">№ 3064201 </w:t>
      </w:r>
      <w:r>
        <w:rPr>
          <w:rStyle w:val="CharStyle14"/>
        </w:rPr>
        <w:t xml:space="preserve">(Заявитель) по совокупности критериев присвоено </w:t>
      </w:r>
      <w:r>
        <w:rPr>
          <w:rStyle w:val="CharStyle14"/>
          <w:lang w:val="en-US" w:eastAsia="en-US"/>
        </w:rPr>
        <w:t xml:space="preserve">80,00 </w:t>
      </w:r>
      <w:r>
        <w:rPr>
          <w:rStyle w:val="CharStyle14"/>
        </w:rPr>
        <w:t>баллов, исходя из оценки комиссией по осуществлению закупок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заявок участников Конкурса.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Комиссия Управления отмечает, что согласно письму Минфина России от </w:t>
      </w:r>
      <w:r>
        <w:rPr>
          <w:rStyle w:val="CharStyle14"/>
          <w:lang w:val="en-US" w:eastAsia="en-US"/>
        </w:rPr>
        <w:t xml:space="preserve">03.11.2023 № 24-06-09/105313 </w:t>
      </w:r>
      <w:r>
        <w:rPr>
          <w:rStyle w:val="CharStyle14"/>
        </w:rPr>
        <w:t>законодательством Российской Федерации не установлено единых правил округления чисел, выраженных в десятичной системе исчисления.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оценке заявок комиссия по осуществлению закупок, заказчик может воспользоваться правилом математического округления чисел.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Так, в случае получения дробных итоговых числовых значений, имеющих более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знаков в дробной части, осуществляется округление полученных значений до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знаков после запятой.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Учитывая изложенное, заказчик, комиссия по осуществлению закупок самостоятельно определяет порядок оценки заявок на участие в конкурсах, в том числе порядок округления числовых значений, используемых при оценке заявок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Комиссия, изучив Протокол подведения итогов, установила, что действия комиссии по осуществлению закупок, округлившей результаты участников Конкурса по Критерию до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знаков после запятой, не противоречат Положению, утвержденному Постановлением </w:t>
      </w:r>
      <w:r>
        <w:rPr>
          <w:rStyle w:val="CharStyle14"/>
          <w:lang w:val="en-US" w:eastAsia="en-US"/>
        </w:rPr>
        <w:t xml:space="preserve">№ 2604 </w:t>
      </w:r>
      <w:r>
        <w:rPr>
          <w:rStyle w:val="CharStyle14"/>
        </w:rPr>
        <w:t>и Закону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Вместе с тем представитель Заявителя на заседании Комиссии 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каких-либо нарушений в действиях комиссии по осуществлению закупок при рассмотрении и оценке заявок рассматриваемой закупки, Комиссией Курганского УФАС России не установлено, жалоба Заявителя признана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изложенного и руководствуясь частями </w:t>
      </w:r>
      <w:r>
        <w:rPr>
          <w:rStyle w:val="CharStyle14"/>
          <w:lang w:val="en-US" w:eastAsia="en-US"/>
        </w:rPr>
        <w:t xml:space="preserve">6, 8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4"/>
        </w:rPr>
        <w:t>Признать жалобу Общества с ограниченной ответственностью «ДОРОЖНО</w:t>
        <w:softHyphen/>
        <w:t xml:space="preserve">ЭКСПЛУАТАЦИОННОЕ ПРЕДПРИЯТИЕ </w:t>
      </w:r>
      <w:r>
        <w:rPr>
          <w:rStyle w:val="CharStyle14"/>
          <w:lang w:val="en-US" w:eastAsia="en-US"/>
        </w:rPr>
        <w:t xml:space="preserve">№ 17»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4"/>
          <w:i/>
          <w:iCs/>
          <w:sz w:val="24"/>
          <w:szCs w:val="24"/>
        </w:rPr>
        <w:t xml:space="preserve">В соответствии с частью </w:t>
      </w:r>
      <w:r>
        <w:rPr>
          <w:rStyle w:val="CharStyle14"/>
          <w:i/>
          <w:iCs/>
          <w:sz w:val="24"/>
          <w:szCs w:val="24"/>
          <w:lang w:val="en-US" w:eastAsia="en-US"/>
        </w:rPr>
        <w:t xml:space="preserve">9 </w:t>
      </w:r>
      <w:r>
        <w:rPr>
          <w:rStyle w:val="CharStyle14"/>
          <w:i/>
          <w:iCs/>
          <w:sz w:val="24"/>
          <w:szCs w:val="24"/>
        </w:rPr>
        <w:t xml:space="preserve">статьи </w:t>
      </w:r>
      <w:r>
        <w:rPr>
          <w:rStyle w:val="CharStyle14"/>
          <w:i/>
          <w:iCs/>
          <w:sz w:val="24"/>
          <w:szCs w:val="24"/>
          <w:lang w:val="en-US" w:eastAsia="en-US"/>
        </w:rPr>
        <w:t xml:space="preserve">106 </w:t>
      </w:r>
      <w:r>
        <w:rPr>
          <w:rStyle w:val="CharStyle14"/>
          <w:i/>
          <w:iCs/>
          <w:sz w:val="24"/>
          <w:szCs w:val="24"/>
        </w:rPr>
        <w:t>Закона о контрактной системе, решение может быть обжаловано в судебном порядке в течение трех месяцев с даты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1682115" distL="114300" distR="132715" simplePos="0" relativeHeight="125829382" behindDoc="0" locked="0" layoutInCell="1" allowOverlap="1">
            <wp:simplePos x="0" y="0"/>
            <wp:positionH relativeFrom="page">
              <wp:posOffset>3403600</wp:posOffset>
            </wp:positionH>
            <wp:positionV relativeFrom="paragraph">
              <wp:posOffset>12700</wp:posOffset>
            </wp:positionV>
            <wp:extent cx="1432560" cy="59753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3256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11225" distB="1155065" distL="212090" distR="1284605" simplePos="0" relativeHeight="125829383" behindDoc="0" locked="0" layoutInCell="1" allowOverlap="1">
            <wp:simplePos x="0" y="0"/>
            <wp:positionH relativeFrom="page">
              <wp:posOffset>3501390</wp:posOffset>
            </wp:positionH>
            <wp:positionV relativeFrom="paragraph">
              <wp:posOffset>923925</wp:posOffset>
            </wp:positionV>
            <wp:extent cx="182880" cy="21336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88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6880" distB="0" distL="175260" distR="123190" simplePos="0" relativeHeight="125829384" behindDoc="0" locked="0" layoutInCell="1" allowOverlap="1">
            <wp:simplePos x="0" y="0"/>
            <wp:positionH relativeFrom="page">
              <wp:posOffset>3464560</wp:posOffset>
            </wp:positionH>
            <wp:positionV relativeFrom="paragraph">
              <wp:posOffset>1719580</wp:posOffset>
            </wp:positionV>
            <wp:extent cx="1377950" cy="57277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7795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3482975</wp:posOffset>
                </wp:positionH>
                <wp:positionV relativeFrom="paragraph">
                  <wp:posOffset>1247140</wp:posOffset>
                </wp:positionV>
                <wp:extent cx="1368425" cy="19812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6"/>
                                <w:color w:val="1F1F1F"/>
                              </w:rPr>
                              <w:t>Дудина Марина Сергеевна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>0088C78770E9DBAD43BC8545A7BA6BA6</w:t>
                            </w:r>
                            <w:r>
                              <w:rPr>
                                <w:rStyle w:val="CharStyle16"/>
                                <w:lang w:val="en-US" w:eastAsia="en-US"/>
                              </w:rPr>
                              <w:t>Bf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 xml:space="preserve">Действителен с 10.11.2025 </w:t>
                            </w:r>
                            <w:r>
                              <w:rPr>
                                <w:rStyle w:val="CharStyle16"/>
                                <w:color w:val="8F8F8F"/>
                              </w:rPr>
                              <w:t xml:space="preserve">по </w:t>
                            </w:r>
                            <w:r>
                              <w:rPr>
                                <w:rStyle w:val="CharStyle16"/>
                              </w:rPr>
                              <w:t>03.02.2027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4.25pt;margin-top:98.200000000000003pt;width:107.75pt;height:15.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 xml:space="preserve">Кому выдан: </w:t>
                      </w:r>
                      <w:r>
                        <w:rPr>
                          <w:rStyle w:val="CharStyle16"/>
                          <w:color w:val="1F1F1F"/>
                        </w:rPr>
                        <w:t>Дудина Марина Сергеевна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 xml:space="preserve">Сертификат № </w:t>
                      </w:r>
                      <w:r>
                        <w:rPr>
                          <w:rStyle w:val="CharStyle16"/>
                          <w:lang w:val="en-US" w:eastAsia="en-US"/>
                        </w:rPr>
                        <w:t>0088C78770E9DBAD43BC8545A7BA6BA6</w:t>
                      </w:r>
                      <w:r>
                        <w:rPr>
                          <w:rStyle w:val="CharStyle16"/>
                          <w:lang w:val="en-US" w:eastAsia="en-US"/>
                        </w:rPr>
                        <w:t>Bf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 xml:space="preserve">Действителен с 10.11.2025 </w:t>
                      </w:r>
                      <w:r>
                        <w:rPr>
                          <w:rStyle w:val="CharStyle16"/>
                          <w:color w:val="8F8F8F"/>
                        </w:rPr>
                        <w:t xml:space="preserve">по </w:t>
                      </w:r>
                      <w:r>
                        <w:rPr>
                          <w:rStyle w:val="CharStyle16"/>
                        </w:rPr>
                        <w:t>03.02.2027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6097905</wp:posOffset>
                </wp:positionH>
                <wp:positionV relativeFrom="paragraph">
                  <wp:posOffset>177800</wp:posOffset>
                </wp:positionV>
                <wp:extent cx="1088390" cy="2349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0.15000000000003pt;margin-top:14.pt;width:85.700000000000003pt;height:18.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М.П. Чеботина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Заместитель Председателя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14"/>
        </w:rPr>
        <w:t>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rStyle w:val="CharStyle14"/>
        </w:rPr>
        <w:t>М.С. Дудина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rStyle w:val="CharStyle14"/>
        </w:rPr>
        <w:t>М.Ю. Базанова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16" w:right="538" w:bottom="1206" w:left="110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9991725</wp:posOffset>
              </wp:positionV>
              <wp:extent cx="658495" cy="12192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0"/>
                              <w:sz w:val="24"/>
                              <w:szCs w:val="24"/>
                            </w:rPr>
                            <w:t>2026-825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99999999999999pt;margin-top:786.75pt;width:51.85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0"/>
                        <w:sz w:val="24"/>
                        <w:szCs w:val="24"/>
                      </w:rPr>
                      <w:t>2026-825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9991725</wp:posOffset>
              </wp:positionV>
              <wp:extent cx="658495" cy="12192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0"/>
                              <w:sz w:val="24"/>
                              <w:szCs w:val="24"/>
                              <w:lang w:val="ru-RU" w:eastAsia="ru-RU"/>
                            </w:rPr>
                            <w:t>2026-825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99999999999999pt;margin-top:786.7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0"/>
                        <w:sz w:val="24"/>
                        <w:szCs w:val="24"/>
                        <w:lang w:val="ru-RU" w:eastAsia="ru-RU"/>
                      </w:rPr>
                      <w:t>2026-825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0">
    <w:name w:val="Body text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8"/>
      <w:szCs w:val="8"/>
      <w:u w:val="none"/>
    </w:rPr>
  </w:style>
  <w:style w:type="character" w:customStyle="1" w:styleId="CharStyle20">
    <w:name w:val="Header or footer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spacing w:after="20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8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9">
    <w:name w:val="Body text (3)"/>
    <w:basedOn w:val="Normal"/>
    <w:link w:val="CharStyle10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8"/>
      <w:szCs w:val="8"/>
      <w:u w:val="none"/>
    </w:rPr>
  </w:style>
  <w:style w:type="paragraph" w:customStyle="1" w:styleId="Style19">
    <w:name w:val="Header or footer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