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50000000000004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20"/>
        <w:jc w:val="left"/>
      </w:pPr>
      <w:r>
        <w:rPr>
          <w:rStyle w:val="CharStyle7"/>
        </w:rPr>
        <w:t>КП «ВДНХ»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20"/>
        <w:jc w:val="left"/>
      </w:pPr>
      <w:r>
        <w:fldChar w:fldCharType="begin"/>
      </w:r>
      <w:r>
        <w:rPr/>
        <w:instrText> HYPERLINK "mailto:imiropolcev@vdnh.ru" </w:instrText>
      </w:r>
      <w:r>
        <w:fldChar w:fldCharType="separate"/>
      </w:r>
      <w:r>
        <w:rPr>
          <w:rStyle w:val="CharStyle7"/>
          <w:lang w:val="en-US" w:eastAsia="en-US"/>
        </w:rPr>
        <w:t>imiropolcev@vdnh.ru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20"/>
        <w:jc w:val="left"/>
      </w:pPr>
      <w:r>
        <w:rPr>
          <w:rStyle w:val="CharStyle7"/>
        </w:rPr>
        <w:t>ООО «Проектные системы»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0" w:right="0" w:firstLine="920"/>
        <w:jc w:val="left"/>
      </w:pPr>
      <w:r>
        <w:fldChar w:fldCharType="begin"/>
      </w:r>
      <w:r>
        <w:rPr/>
        <w:instrText> HYPERLINK "mailto:mryzhakov@ro.ru" </w:instrText>
      </w:r>
      <w:r>
        <w:fldChar w:fldCharType="separate"/>
      </w:r>
      <w:r>
        <w:rPr>
          <w:rStyle w:val="CharStyle7"/>
          <w:lang w:val="en-US" w:eastAsia="en-US"/>
        </w:rPr>
        <w:t>mryzhakov@ro.ru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по делу №077/06/105-5637/2026 о нарушении</w:t>
        <w:br/>
        <w:t>законодательства о контрактной системе</w:t>
        <w:br/>
        <w:t>05.05.2026</w:t>
        <w:tab/>
        <w:t>г.Москва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 при участии представителя КП «ВДНХ»: Корсакова М А. (дов №КП-18-12/26 от 15.01.2026),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7"/>
        </w:rPr>
        <w:t>в отсутствие представителей ООО «Проектные системы»,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96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715010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рассмотрев жалобу ООО «Проектные системы» (далее — Заявитель) на действия КП «ВДНХ» (далее - Заказчик) при проведении открытого конкурса в электронной форме на право заключения государственного контракта на выполнение работ по разработке проектно-сметной документации на монтаж систем пожарной сигнализации (СПС) и систем оповещения и управления эвакуацией людей при пожаре (СОУЭ) для строений КП «ВДНХ» (Закупка № 0573500000126000072)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нужд»(далее — Закон 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  <w:color w:val="00000A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Комиссией Управления определено, исходя из срока подачи жалобы и карточки жалобы Заявитель обжалует действия комиссии по осуществлению закупок Заказчика, совершенные при рассмотрении заявок на участие в закупке, однако, как установлено Комиссией Управления, в составе жалобы отсутствуют доводы, указывающие на наличие нарушений Закона о контрактной системе в действиях комиссии по осуществлению закупок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 xml:space="preserve">Главой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 установлен порядок обжалования действия (бездействие) заказчика, комиссии по осуществлению закупок, ее членов, должностных лиц контрактной службы, контрактного управляющего, если такие действия (бездействие) нарушают права и законные интересы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Согласно ч.1 ст.105 Закона о контрактной системе при проведении конкурентных способов, при осуществлении закупки, осуществляемой в соответствии с ч.12 ст.93 Закона о контрактной системе,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В соответствии с п.5 ч.4 ст.105 Закона о контрактной системе при проведении электронных процедур, закрытых электронных процедур жалоба может быть подана в контрольные органы в сфере закупок, предусмотренные ч.3 ст.105 Закона о контрактной системе, исключительно с использованием единой информационной системы, при этом жалоба должно содержать указание на обжалуемые действия (бездействие) субъекта (субъектов) контроля, доводы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 xml:space="preserve">Вместе с этим, как установлено Комиссией Управления, в составе жалобы ООО «Эксперт»отсутствуют доводы жалобы, указывающие на нарушения комиссии по осуществлению закупок Заказчика, рассмотрение которых могло быть осуществлено в порядке Главы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Кроме того, Комиссии Управления установлено, что в составе жалобы Заявитель обжалует положения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7"/>
        </w:rPr>
        <w:t>Согласно п.1 ч.2 ст.105 Закона о контрактной системе жалоба на положения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закупке). В случае внесения в соответствии с Законом о контрактной системе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7"/>
        </w:rPr>
        <w:t xml:space="preserve">Комиссией Управления установлено, что, в соответствии с извещением об осуществлении закупки, дата и время окончания подачи заявок </w:t>
      </w:r>
      <w:r>
        <w:rPr>
          <w:rStyle w:val="CharStyle7"/>
          <w:lang w:val="en-US" w:eastAsia="en-US"/>
        </w:rPr>
        <w:t xml:space="preserve">22.04.2026 </w:t>
      </w:r>
      <w:r>
        <w:rPr>
          <w:rStyle w:val="CharStyle7"/>
        </w:rPr>
        <w:t xml:space="preserve">в </w:t>
      </w:r>
      <w:r>
        <w:rPr>
          <w:rStyle w:val="CharStyle7"/>
          <w:lang w:val="en-US" w:eastAsia="en-US"/>
        </w:rPr>
        <w:t xml:space="preserve">09:00, </w:t>
      </w:r>
      <w:r>
        <w:rPr>
          <w:rStyle w:val="CharStyle7"/>
        </w:rPr>
        <w:t xml:space="preserve">в то время как жалоба Заявителя размещена в единой информационной системе </w:t>
      </w:r>
      <w:r>
        <w:rPr>
          <w:rStyle w:val="CharStyle7"/>
          <w:lang w:val="en-US" w:eastAsia="en-US"/>
        </w:rPr>
        <w:t xml:space="preserve">28.04.2026, </w:t>
      </w:r>
      <w:r>
        <w:rPr>
          <w:rStyle w:val="CharStyle7"/>
        </w:rPr>
        <w:t>то есть после срока окончания подачи заявок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7"/>
        </w:rPr>
        <w:t>Таким образом, доводы жалобы, направленные на обжалование положений извещения об осуществлении закупки, не могут быть рассмотрены Комиссией Управления и подлежат оспариванию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40" w:bottom="1085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860"/>
        <w:jc w:val="both"/>
      </w:pPr>
      <w:r>
        <w:rPr>
          <w:rStyle w:val="CharStyle7"/>
        </w:rPr>
        <w:t>Жалобу ООО «Проектные системы» части действий комиссии по осуществлению закупок Заказчика оставить без рассмотрения в соответствии с положениями п.5 ч.4 ст.105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860"/>
        <w:jc w:val="both"/>
      </w:pPr>
      <w:r>
        <w:rPr>
          <w:rStyle w:val="CharStyle7"/>
        </w:rPr>
        <w:t>Жалобу ООО «Проектные системы» в части обжалования положений извещения об осуществлении закупки оставить без рассмотрения в соответствии ч.2 ст.105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300"/>
        <w:ind w:left="0" w:right="0" w:firstLine="860"/>
        <w:jc w:val="both"/>
      </w:pPr>
      <w:r>
        <w:rPr>
          <w:rStyle w:val="CharStyle7"/>
        </w:rPr>
        <w:t>Снять ограничения на осуществление закупки,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609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293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0.pt;width:149.05000000000001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4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80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127000</wp:posOffset>
                </wp:positionV>
                <wp:extent cx="134112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2.60000000000002pt;margin-top:10.pt;width:105.60000000000001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Матюшенко Александр Александрович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4F595A5C3E5ABB2DD77161F08559FC07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20"/>
        <w:jc w:val="left"/>
      </w:pPr>
      <w:r>
        <w:rPr>
          <w:rStyle w:val="CharStyle17"/>
        </w:rPr>
        <w:t xml:space="preserve">Действителен с 22.07.2025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Кутейников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Кутейников Антон Андреевич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67950889C45403E5BD9EBC88A8D80C0D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7"/>
        </w:rPr>
        <w:t xml:space="preserve">Действителен с 19.05.2025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ХЛЕБНИКОВА АНАСТАСИЯ СЕРГЕЕВНА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00BDC586F2C22E8641</w:t>
      </w:r>
      <w:r>
        <w:rPr>
          <w:rStyle w:val="CharStyle17"/>
        </w:rPr>
        <w:t>81858031</w:t>
      </w:r>
      <w:r>
        <w:rPr>
          <w:rStyle w:val="CharStyle17"/>
          <w:lang w:val="en-US" w:eastAsia="en-US"/>
        </w:rPr>
        <w:t>D</w:t>
      </w:r>
      <w:r>
        <w:rPr>
          <w:rStyle w:val="CharStyle17"/>
        </w:rPr>
        <w:t>1</w:t>
      </w:r>
      <w:r>
        <w:rPr>
          <w:rStyle w:val="CharStyle17"/>
          <w:color w:val="292929"/>
        </w:rPr>
        <w:t>6А11</w:t>
      </w:r>
      <w:r>
        <w:rPr>
          <w:rStyle w:val="CharStyle17"/>
        </w:rPr>
        <w:t>13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rStyle w:val="CharStyle17"/>
        </w:rPr>
        <w:t>Действителен с 31.1</w:t>
      </w:r>
      <w:r>
        <w:rPr>
          <w:rStyle w:val="CharStyle17"/>
          <w:color w:val="5E5E5E"/>
        </w:rPr>
        <w:t xml:space="preserve">0.2025 по </w:t>
      </w:r>
      <w:r>
        <w:rPr>
          <w:rStyle w:val="CharStyle17"/>
          <w:color w:val="292929"/>
        </w:rPr>
        <w:t>24.01</w:t>
      </w:r>
      <w:r>
        <w:rPr>
          <w:rStyle w:val="CharStyle17"/>
        </w:rPr>
        <w:t>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2026-22913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2026-22913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10217150</wp:posOffset>
              </wp:positionV>
              <wp:extent cx="73787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  <w:lang w:val="ru-RU" w:eastAsia="ru-RU"/>
                            </w:rPr>
                            <w:t>2026-22913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50000000000004pt;margin-top:804.5pt;width:58.1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  <w:lang w:val="ru-RU" w:eastAsia="ru-RU"/>
                      </w:rPr>
                      <w:t>2026-22913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25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