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720725</wp:posOffset>
                </wp:positionH>
                <wp:positionV relativeFrom="paragraph">
                  <wp:posOffset>12700</wp:posOffset>
                </wp:positionV>
                <wp:extent cx="2648585" cy="2800985"/>
                <wp:wrapSquare wrapText="right"/>
                <wp:docPr id="1" name="Shape 1"/>
                <a:graphic xmlns:a="http://schemas.openxmlformats.org/drawingml/2006/main">
                  <a:graphicData uri="http://schemas.microsoft.com/office/word/2010/wordprocessingShape">
                    <wps:wsp>
                      <wps:cNvSpPr txBox="1"/>
                      <wps:spPr>
                        <a:xfrm>
                          <a:ext cx="2648585" cy="2800985"/>
                        </a:xfrm>
                        <a:prstGeom prst="rect"/>
                        <a:noFill/>
                      </wps:spPr>
                      <wps:txbx>
                        <w:txbxContent>
                          <w:p>
                            <w:pPr>
                              <w:pStyle w:val="Style2"/>
                              <w:keepNext w:val="0"/>
                              <w:keepLines w:val="0"/>
                              <w:widowControl w:val="0"/>
                              <w:shd w:val="clear" w:color="auto" w:fill="auto"/>
                              <w:bidi w:val="0"/>
                              <w:spacing w:before="0" w:after="120" w:line="240" w:lineRule="auto"/>
                              <w:ind w:left="0" w:right="0" w:firstLine="0"/>
                              <w:jc w:val="center"/>
                              <w:rPr>
                                <w:sz w:val="74"/>
                                <w:szCs w:val="74"/>
                              </w:rPr>
                            </w:pPr>
                            <w:r>
                              <w:rPr>
                                <w:rStyle w:val="CharStyle3"/>
                                <w:rFonts w:ascii="Arial" w:eastAsia="Arial" w:hAnsi="Arial" w:cs="Arial"/>
                                <w:color w:val="46609A"/>
                                <w:sz w:val="74"/>
                                <w:szCs w:val="74"/>
                                <w:u w:val="single"/>
                                <w:lang w:val="en-US" w:eastAsia="en-US"/>
                              </w:rPr>
                              <w:t>$</w:t>
                            </w:r>
                          </w:p>
                          <w:p>
                            <w:pPr>
                              <w:pStyle w:val="Style5"/>
                              <w:keepNext w:val="0"/>
                              <w:keepLines w:val="0"/>
                              <w:widowControl w:val="0"/>
                              <w:shd w:val="clear" w:color="auto" w:fill="auto"/>
                              <w:bidi w:val="0"/>
                              <w:spacing w:before="0" w:after="200" w:line="240" w:lineRule="auto"/>
                              <w:ind w:left="0" w:right="0" w:firstLine="0"/>
                              <w:jc w:val="center"/>
                            </w:pPr>
                            <w:r>
                              <w:rPr>
                                <w:rStyle w:val="CharStyle6"/>
                              </w:rPr>
                              <w:t>ФЕДЕРАЛЬНАЯ</w:t>
                              <w:b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pPr>
                            <w:r>
                              <w:rPr>
                                <w:rStyle w:val="CharStyle6"/>
                              </w:rPr>
                              <w:t>УПРАВЛЕНИЕ</w:t>
                            </w:r>
                          </w:p>
                          <w:p>
                            <w:pPr>
                              <w:pStyle w:val="Style5"/>
                              <w:keepNext w:val="0"/>
                              <w:keepLines w:val="0"/>
                              <w:widowControl w:val="0"/>
                              <w:shd w:val="clear" w:color="auto" w:fill="auto"/>
                              <w:bidi w:val="0"/>
                              <w:spacing w:before="0" w:line="240" w:lineRule="auto"/>
                              <w:ind w:left="0" w:right="0" w:firstLine="0"/>
                              <w:jc w:val="center"/>
                            </w:pPr>
                            <w:r>
                              <w:rPr>
                                <w:rStyle w:val="CharStyle6"/>
                              </w:rPr>
                              <w:t>Федеральной антимонопольной</w:t>
                              <w:br/>
                              <w:t>службы по Ханты-Мансийскому</w:t>
                              <w:br/>
                              <w:t>автономному округу - Югре</w:t>
                            </w:r>
                          </w:p>
                          <w:p>
                            <w:pPr>
                              <w:pStyle w:val="Style5"/>
                              <w:keepNext w:val="0"/>
                              <w:keepLines w:val="0"/>
                              <w:widowControl w:val="0"/>
                              <w:shd w:val="clear" w:color="auto" w:fill="auto"/>
                              <w:bidi w:val="0"/>
                              <w:spacing w:before="0" w:line="240" w:lineRule="auto"/>
                              <w:ind w:left="0" w:right="0" w:firstLine="0"/>
                              <w:jc w:val="center"/>
                              <w:rPr>
                                <w:sz w:val="16"/>
                                <w:szCs w:val="16"/>
                              </w:rPr>
                            </w:pPr>
                            <w:r>
                              <w:rPr>
                                <w:rStyle w:val="CharStyle6"/>
                              </w:rPr>
                              <w:t>ул. Мира, д. 27, Ханты-Мансийск, 628012</w:t>
                              <w:br/>
                              <w:t>телефон/факс +7 (3467) 38-80-81</w:t>
                              <w:br/>
                            </w:r>
                            <w:r>
                              <w:rPr>
                                <w:rStyle w:val="CharStyle6"/>
                                <w:sz w:val="16"/>
                                <w:szCs w:val="16"/>
                                <w:lang w:val="en-US" w:eastAsia="en-US"/>
                              </w:rPr>
                              <w:t xml:space="preserve">e-mail: </w:t>
                            </w:r>
                            <w:r>
                              <w:fldChar w:fldCharType="begin"/>
                            </w:r>
                            <w:r>
                              <w:rPr/>
                              <w:instrText> HYPERLINK "mailto:to86@fas.gov.ru" </w:instrText>
                            </w:r>
                            <w:r>
                              <w:fldChar w:fldCharType="separate"/>
                            </w:r>
                            <w:r>
                              <w:rPr>
                                <w:rStyle w:val="CharStyle6"/>
                                <w:sz w:val="16"/>
                                <w:szCs w:val="16"/>
                                <w:lang w:val="en-US" w:eastAsia="en-US"/>
                              </w:rPr>
                              <w:t>to86@fas.gov.ru</w:t>
                            </w:r>
                            <w:r>
                              <w:fldChar w:fldCharType="end"/>
                            </w:r>
                            <w:r>
                              <w:rPr>
                                <w:rStyle w:val="CharStyle6"/>
                                <w:sz w:val="16"/>
                                <w:szCs w:val="16"/>
                                <w:lang w:val="en-US" w:eastAsia="en-US"/>
                              </w:rPr>
                              <w:t xml:space="preserve">, </w:t>
                            </w:r>
                            <w:r>
                              <w:rPr>
                                <w:rStyle w:val="CharStyle6"/>
                                <w:sz w:val="16"/>
                                <w:szCs w:val="16"/>
                              </w:rPr>
                              <w:t xml:space="preserve">сайт </w:t>
                            </w:r>
                            <w:r>
                              <w:fldChar w:fldCharType="begin"/>
                            </w:r>
                            <w:r>
                              <w:rPr/>
                              <w:instrText> HYPERLINK "http://hmao.fas.gov.ru" </w:instrText>
                            </w:r>
                            <w:r>
                              <w:fldChar w:fldCharType="separate"/>
                            </w:r>
                            <w:r>
                              <w:rPr>
                                <w:rStyle w:val="CharStyle6"/>
                                <w:sz w:val="16"/>
                                <w:szCs w:val="16"/>
                                <w:lang w:val="en-US" w:eastAsia="en-US"/>
                              </w:rPr>
                              <w:t>http://hmao.fas.gov.ru</w:t>
                            </w:r>
                            <w:r>
                              <w:fldChar w:fldCharType="end"/>
                            </w:r>
                          </w:p>
                          <w:p>
                            <w:pPr>
                              <w:pStyle w:val="Style2"/>
                              <w:keepNext w:val="0"/>
                              <w:keepLines w:val="0"/>
                              <w:widowControl w:val="0"/>
                              <w:shd w:val="clear" w:color="auto" w:fill="auto"/>
                              <w:bidi w:val="0"/>
                              <w:spacing w:before="0" w:after="0" w:line="283" w:lineRule="auto"/>
                              <w:ind w:left="0" w:right="0" w:firstLine="0"/>
                              <w:jc w:val="center"/>
                              <w:rPr>
                                <w:sz w:val="16"/>
                                <w:szCs w:val="16"/>
                              </w:rPr>
                            </w:pPr>
                            <w:r>
                              <w:rPr>
                                <w:rStyle w:val="CharStyle3"/>
                                <w:color w:val="46609A"/>
                                <w:sz w:val="16"/>
                                <w:szCs w:val="16"/>
                              </w:rPr>
                              <w:t>ИНН 8601009316 КПП 860101001 ОГРН 1028600512093</w:t>
                            </w:r>
                          </w:p>
                          <w:p>
                            <w:pPr>
                              <w:pStyle w:val="Style2"/>
                              <w:keepNext w:val="0"/>
                              <w:keepLines w:val="0"/>
                              <w:widowControl w:val="0"/>
                              <w:shd w:val="clear" w:color="auto" w:fill="auto"/>
                              <w:tabs>
                                <w:tab w:pos="1838" w:val="left"/>
                              </w:tabs>
                              <w:bidi w:val="0"/>
                              <w:spacing w:before="0" w:after="320" w:line="240" w:lineRule="auto"/>
                              <w:ind w:left="0" w:right="0" w:firstLine="0"/>
                              <w:jc w:val="center"/>
                              <w:rPr>
                                <w:sz w:val="30"/>
                                <w:szCs w:val="30"/>
                              </w:rPr>
                            </w:pPr>
                            <w:r>
                              <w:rPr>
                                <w:rStyle w:val="CharStyle3"/>
                                <w:sz w:val="30"/>
                                <w:szCs w:val="30"/>
                              </w:rPr>
                              <w:t>0</w:t>
                            </w:r>
                            <w:r>
                              <w:fldChar w:fldCharType="begin"/>
                            </w:r>
                            <w:r>
                              <w:rPr/>
                              <w:instrText> HYPERLINK "file://f207ca94-a13c-4ba0-b72d-f018c9eed8f1/" </w:instrText>
                            </w:r>
                            <w:r>
                              <w:fldChar w:fldCharType="separate"/>
                            </w:r>
                            <w:r>
                              <w:rPr>
                                <w:rStyle w:val="CharStyle3"/>
                                <w:sz w:val="30"/>
                                <w:szCs w:val="30"/>
                              </w:rPr>
                              <w:t>8.05.</w:t>
                            </w:r>
                            <w:r>
                              <w:rPr>
                                <w:rStyle w:val="CharStyle3"/>
                                <w:sz w:val="30"/>
                                <w:szCs w:val="30"/>
                                <w:u w:val="single"/>
                              </w:rPr>
                              <w:t>2026</w:t>
                            </w:r>
                            <w:r>
                              <w:rPr>
                                <w:rStyle w:val="CharStyle3"/>
                                <w:sz w:val="30"/>
                                <w:szCs w:val="30"/>
                              </w:rPr>
                              <w:tab/>
                            </w:r>
                            <w:r>
                              <w:fldChar w:fldCharType="end"/>
                            </w:r>
                            <w:r>
                              <w:rPr>
                                <w:rStyle w:val="CharStyle3"/>
                                <w:sz w:val="30"/>
                                <w:szCs w:val="30"/>
                              </w:rPr>
                              <w:t xml:space="preserve">№ </w:t>
                            </w:r>
                            <w:r>
                              <w:rPr>
                                <w:rStyle w:val="CharStyle3"/>
                                <w:sz w:val="30"/>
                                <w:szCs w:val="30"/>
                                <w:u w:val="single"/>
                              </w:rPr>
                              <w:t>СБ/3200/26</w:t>
                            </w:r>
                          </w:p>
                          <w:p>
                            <w:pPr>
                              <w:pStyle w:val="Style5"/>
                              <w:keepNext w:val="0"/>
                              <w:keepLines w:val="0"/>
                              <w:widowControl w:val="0"/>
                              <w:shd w:val="clear" w:color="auto" w:fill="auto"/>
                              <w:bidi w:val="0"/>
                              <w:spacing w:before="0" w:after="160" w:line="240" w:lineRule="auto"/>
                              <w:ind w:left="0" w:right="0" w:firstLine="0"/>
                              <w:jc w:val="center"/>
                            </w:pPr>
                            <w:r>
                              <w:rPr>
                                <w:rStyle w:val="CharStyle6"/>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75pt;margin-top:1.pt;width:208.55000000000001pt;height:220.55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120" w:line="240" w:lineRule="auto"/>
                        <w:ind w:left="0" w:right="0" w:firstLine="0"/>
                        <w:jc w:val="center"/>
                        <w:rPr>
                          <w:sz w:val="74"/>
                          <w:szCs w:val="74"/>
                        </w:rPr>
                      </w:pPr>
                      <w:r>
                        <w:rPr>
                          <w:rStyle w:val="CharStyle3"/>
                          <w:rFonts w:ascii="Arial" w:eastAsia="Arial" w:hAnsi="Arial" w:cs="Arial"/>
                          <w:color w:val="46609A"/>
                          <w:sz w:val="74"/>
                          <w:szCs w:val="74"/>
                          <w:u w:val="single"/>
                          <w:lang w:val="en-US" w:eastAsia="en-US"/>
                        </w:rPr>
                        <w:t>$</w:t>
                      </w:r>
                    </w:p>
                    <w:p>
                      <w:pPr>
                        <w:pStyle w:val="Style5"/>
                        <w:keepNext w:val="0"/>
                        <w:keepLines w:val="0"/>
                        <w:widowControl w:val="0"/>
                        <w:shd w:val="clear" w:color="auto" w:fill="auto"/>
                        <w:bidi w:val="0"/>
                        <w:spacing w:before="0" w:after="200" w:line="240" w:lineRule="auto"/>
                        <w:ind w:left="0" w:right="0" w:firstLine="0"/>
                        <w:jc w:val="center"/>
                      </w:pPr>
                      <w:r>
                        <w:rPr>
                          <w:rStyle w:val="CharStyle6"/>
                        </w:rPr>
                        <w:t>ФЕДЕРАЛЬНАЯ</w:t>
                        <w:b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pPr>
                      <w:r>
                        <w:rPr>
                          <w:rStyle w:val="CharStyle6"/>
                        </w:rPr>
                        <w:t>УПРАВЛЕНИЕ</w:t>
                      </w:r>
                    </w:p>
                    <w:p>
                      <w:pPr>
                        <w:pStyle w:val="Style5"/>
                        <w:keepNext w:val="0"/>
                        <w:keepLines w:val="0"/>
                        <w:widowControl w:val="0"/>
                        <w:shd w:val="clear" w:color="auto" w:fill="auto"/>
                        <w:bidi w:val="0"/>
                        <w:spacing w:before="0" w:line="240" w:lineRule="auto"/>
                        <w:ind w:left="0" w:right="0" w:firstLine="0"/>
                        <w:jc w:val="center"/>
                      </w:pPr>
                      <w:r>
                        <w:rPr>
                          <w:rStyle w:val="CharStyle6"/>
                        </w:rPr>
                        <w:t>Федеральной антимонопольной</w:t>
                        <w:br/>
                        <w:t>службы по Ханты-Мансийскому</w:t>
                        <w:br/>
                        <w:t>автономному округу - Югре</w:t>
                      </w:r>
                    </w:p>
                    <w:p>
                      <w:pPr>
                        <w:pStyle w:val="Style5"/>
                        <w:keepNext w:val="0"/>
                        <w:keepLines w:val="0"/>
                        <w:widowControl w:val="0"/>
                        <w:shd w:val="clear" w:color="auto" w:fill="auto"/>
                        <w:bidi w:val="0"/>
                        <w:spacing w:before="0" w:line="240" w:lineRule="auto"/>
                        <w:ind w:left="0" w:right="0" w:firstLine="0"/>
                        <w:jc w:val="center"/>
                        <w:rPr>
                          <w:sz w:val="16"/>
                          <w:szCs w:val="16"/>
                        </w:rPr>
                      </w:pPr>
                      <w:r>
                        <w:rPr>
                          <w:rStyle w:val="CharStyle6"/>
                        </w:rPr>
                        <w:t>ул. Мира, д. 27, Ханты-Мансийск, 628012</w:t>
                        <w:br/>
                        <w:t>телефон/факс +7 (3467) 38-80-81</w:t>
                        <w:br/>
                      </w:r>
                      <w:r>
                        <w:rPr>
                          <w:rStyle w:val="CharStyle6"/>
                          <w:sz w:val="16"/>
                          <w:szCs w:val="16"/>
                          <w:lang w:val="en-US" w:eastAsia="en-US"/>
                        </w:rPr>
                        <w:t xml:space="preserve">e-mail: </w:t>
                      </w:r>
                      <w:r>
                        <w:fldChar w:fldCharType="begin"/>
                      </w:r>
                      <w:r>
                        <w:rPr/>
                        <w:instrText> HYPERLINK "mailto:to86@fas.gov.ru" </w:instrText>
                      </w:r>
                      <w:r>
                        <w:fldChar w:fldCharType="separate"/>
                      </w:r>
                      <w:r>
                        <w:rPr>
                          <w:rStyle w:val="CharStyle6"/>
                          <w:sz w:val="16"/>
                          <w:szCs w:val="16"/>
                          <w:lang w:val="en-US" w:eastAsia="en-US"/>
                        </w:rPr>
                        <w:t>to86@fas.gov.ru</w:t>
                      </w:r>
                      <w:r>
                        <w:fldChar w:fldCharType="end"/>
                      </w:r>
                      <w:r>
                        <w:rPr>
                          <w:rStyle w:val="CharStyle6"/>
                          <w:sz w:val="16"/>
                          <w:szCs w:val="16"/>
                          <w:lang w:val="en-US" w:eastAsia="en-US"/>
                        </w:rPr>
                        <w:t xml:space="preserve">, </w:t>
                      </w:r>
                      <w:r>
                        <w:rPr>
                          <w:rStyle w:val="CharStyle6"/>
                          <w:sz w:val="16"/>
                          <w:szCs w:val="16"/>
                        </w:rPr>
                        <w:t xml:space="preserve">сайт </w:t>
                      </w:r>
                      <w:r>
                        <w:fldChar w:fldCharType="begin"/>
                      </w:r>
                      <w:r>
                        <w:rPr/>
                        <w:instrText> HYPERLINK "http://hmao.fas.gov.ru" </w:instrText>
                      </w:r>
                      <w:r>
                        <w:fldChar w:fldCharType="separate"/>
                      </w:r>
                      <w:r>
                        <w:rPr>
                          <w:rStyle w:val="CharStyle6"/>
                          <w:sz w:val="16"/>
                          <w:szCs w:val="16"/>
                          <w:lang w:val="en-US" w:eastAsia="en-US"/>
                        </w:rPr>
                        <w:t>http://hmao.fas.gov.ru</w:t>
                      </w:r>
                      <w:r>
                        <w:fldChar w:fldCharType="end"/>
                      </w:r>
                    </w:p>
                    <w:p>
                      <w:pPr>
                        <w:pStyle w:val="Style2"/>
                        <w:keepNext w:val="0"/>
                        <w:keepLines w:val="0"/>
                        <w:widowControl w:val="0"/>
                        <w:shd w:val="clear" w:color="auto" w:fill="auto"/>
                        <w:bidi w:val="0"/>
                        <w:spacing w:before="0" w:after="0" w:line="283" w:lineRule="auto"/>
                        <w:ind w:left="0" w:right="0" w:firstLine="0"/>
                        <w:jc w:val="center"/>
                        <w:rPr>
                          <w:sz w:val="16"/>
                          <w:szCs w:val="16"/>
                        </w:rPr>
                      </w:pPr>
                      <w:r>
                        <w:rPr>
                          <w:rStyle w:val="CharStyle3"/>
                          <w:color w:val="46609A"/>
                          <w:sz w:val="16"/>
                          <w:szCs w:val="16"/>
                        </w:rPr>
                        <w:t>ИНН 8601009316 КПП 860101001 ОГРН 1028600512093</w:t>
                      </w:r>
                    </w:p>
                    <w:p>
                      <w:pPr>
                        <w:pStyle w:val="Style2"/>
                        <w:keepNext w:val="0"/>
                        <w:keepLines w:val="0"/>
                        <w:widowControl w:val="0"/>
                        <w:shd w:val="clear" w:color="auto" w:fill="auto"/>
                        <w:tabs>
                          <w:tab w:pos="1838" w:val="left"/>
                        </w:tabs>
                        <w:bidi w:val="0"/>
                        <w:spacing w:before="0" w:after="320" w:line="240" w:lineRule="auto"/>
                        <w:ind w:left="0" w:right="0" w:firstLine="0"/>
                        <w:jc w:val="center"/>
                        <w:rPr>
                          <w:sz w:val="30"/>
                          <w:szCs w:val="30"/>
                        </w:rPr>
                      </w:pPr>
                      <w:r>
                        <w:rPr>
                          <w:rStyle w:val="CharStyle3"/>
                          <w:sz w:val="30"/>
                          <w:szCs w:val="30"/>
                        </w:rPr>
                        <w:t>0</w:t>
                      </w:r>
                      <w:r>
                        <w:fldChar w:fldCharType="begin"/>
                      </w:r>
                      <w:r>
                        <w:rPr/>
                        <w:instrText> HYPERLINK "file://f207ca94-a13c-4ba0-b72d-f018c9eed8f1/" </w:instrText>
                      </w:r>
                      <w:r>
                        <w:fldChar w:fldCharType="separate"/>
                      </w:r>
                      <w:r>
                        <w:rPr>
                          <w:rStyle w:val="CharStyle3"/>
                          <w:sz w:val="30"/>
                          <w:szCs w:val="30"/>
                        </w:rPr>
                        <w:t>8.05.</w:t>
                      </w:r>
                      <w:r>
                        <w:rPr>
                          <w:rStyle w:val="CharStyle3"/>
                          <w:sz w:val="30"/>
                          <w:szCs w:val="30"/>
                          <w:u w:val="single"/>
                        </w:rPr>
                        <w:t>2026</w:t>
                      </w:r>
                      <w:r>
                        <w:rPr>
                          <w:rStyle w:val="CharStyle3"/>
                          <w:sz w:val="30"/>
                          <w:szCs w:val="30"/>
                        </w:rPr>
                        <w:tab/>
                      </w:r>
                      <w:r>
                        <w:fldChar w:fldCharType="end"/>
                      </w:r>
                      <w:r>
                        <w:rPr>
                          <w:rStyle w:val="CharStyle3"/>
                          <w:sz w:val="30"/>
                          <w:szCs w:val="30"/>
                        </w:rPr>
                        <w:t xml:space="preserve">№ </w:t>
                      </w:r>
                      <w:r>
                        <w:rPr>
                          <w:rStyle w:val="CharStyle3"/>
                          <w:sz w:val="30"/>
                          <w:szCs w:val="30"/>
                          <w:u w:val="single"/>
                        </w:rPr>
                        <w:t>СБ/3200/26</w:t>
                      </w:r>
                    </w:p>
                    <w:p>
                      <w:pPr>
                        <w:pStyle w:val="Style5"/>
                        <w:keepNext w:val="0"/>
                        <w:keepLines w:val="0"/>
                        <w:widowControl w:val="0"/>
                        <w:shd w:val="clear" w:color="auto" w:fill="auto"/>
                        <w:bidi w:val="0"/>
                        <w:spacing w:before="0" w:after="160" w:line="240" w:lineRule="auto"/>
                        <w:ind w:left="0" w:right="0" w:firstLine="0"/>
                        <w:jc w:val="center"/>
                      </w:pPr>
                      <w:r>
                        <w:rPr>
                          <w:rStyle w:val="CharStyle6"/>
                        </w:rPr>
                        <w:t xml:space="preserve">На№  от</w:t>
                      </w:r>
                    </w:p>
                  </w:txbxContent>
                </v:textbox>
                <w10:wrap type="square" side="right" anchorx="page"/>
              </v:shape>
            </w:pict>
          </mc:Fallback>
        </mc:AlternateContent>
      </w:r>
      <w:r>
        <w:drawing>
          <wp:anchor distT="0" distB="0" distL="114300" distR="114300" simplePos="0" relativeHeight="125829380" behindDoc="0" locked="0" layoutInCell="1" allowOverlap="1">
            <wp:simplePos x="0" y="0"/>
            <wp:positionH relativeFrom="page">
              <wp:posOffset>717550</wp:posOffset>
            </wp:positionH>
            <wp:positionV relativeFrom="paragraph">
              <wp:posOffset>9287510</wp:posOffset>
            </wp:positionV>
            <wp:extent cx="1511935" cy="292735"/>
            <wp:wrapTopAndBottom/>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5"/>
                    <a:stretch/>
                  </pic:blipFill>
                  <pic:spPr>
                    <a:xfrm>
                      <a:ext cx="1511935" cy="292735"/>
                    </a:xfrm>
                    <a:prstGeom prst="rect"/>
                  </pic:spPr>
                </pic:pic>
              </a:graphicData>
            </a:graphic>
          </wp:anchor>
        </w:drawing>
      </w:r>
    </w:p>
    <w:p>
      <w:pPr>
        <w:pStyle w:val="Style17"/>
        <w:keepNext/>
        <w:keepLines/>
        <w:widowControl w:val="0"/>
        <w:shd w:val="clear" w:color="auto" w:fill="auto"/>
        <w:bidi w:val="0"/>
        <w:spacing w:before="0" w:after="0"/>
        <w:ind w:left="940" w:right="0" w:firstLine="0"/>
        <w:jc w:val="left"/>
      </w:pPr>
      <w:bookmarkStart w:id="0" w:name="bookmark0"/>
      <w:r>
        <w:rPr>
          <w:rStyle w:val="CharStyle18"/>
          <w:b/>
          <w:bCs/>
        </w:rPr>
        <w:t>Оператор ЭП:</w:t>
      </w:r>
      <w:bookmarkEnd w:id="0"/>
    </w:p>
    <w:p>
      <w:pPr>
        <w:pStyle w:val="Style12"/>
        <w:keepNext w:val="0"/>
        <w:keepLines w:val="0"/>
        <w:widowControl w:val="0"/>
        <w:shd w:val="clear" w:color="auto" w:fill="auto"/>
        <w:bidi w:val="0"/>
        <w:spacing w:before="0" w:after="0"/>
        <w:ind w:left="940" w:right="0" w:firstLine="0"/>
        <w:jc w:val="left"/>
      </w:pPr>
      <w:r>
        <w:rPr>
          <w:rStyle w:val="CharStyle13"/>
        </w:rPr>
        <w:t>ООО «РТС-тендер»</w:t>
      </w:r>
    </w:p>
    <w:p>
      <w:pPr>
        <w:pStyle w:val="Style12"/>
        <w:keepNext w:val="0"/>
        <w:keepLines w:val="0"/>
        <w:widowControl w:val="0"/>
        <w:shd w:val="clear" w:color="auto" w:fill="auto"/>
        <w:bidi w:val="0"/>
        <w:spacing w:before="0" w:after="280"/>
        <w:ind w:left="940" w:right="0" w:firstLine="0"/>
        <w:jc w:val="left"/>
      </w:pPr>
      <w:r>
        <w:rPr>
          <w:rStyle w:val="CharStyle13"/>
          <w:lang w:val="en-US" w:eastAsia="en-US"/>
        </w:rPr>
        <w:t xml:space="preserve">e-mail: </w:t>
      </w:r>
      <w:r>
        <w:fldChar w:fldCharType="begin"/>
      </w:r>
      <w:r>
        <w:rPr/>
        <w:instrText> HYPERLINK "mailto:ko@rts-tender.ru" </w:instrText>
      </w:r>
      <w:r>
        <w:fldChar w:fldCharType="separate"/>
      </w:r>
      <w:r>
        <w:rPr>
          <w:rStyle w:val="CharStyle13"/>
          <w:lang w:val="en-US" w:eastAsia="en-US"/>
        </w:rPr>
        <w:t>ko@rts-tender.ru</w:t>
      </w:r>
      <w:r>
        <w:fldChar w:fldCharType="end"/>
      </w:r>
    </w:p>
    <w:p>
      <w:pPr>
        <w:pStyle w:val="Style17"/>
        <w:keepNext/>
        <w:keepLines/>
        <w:widowControl w:val="0"/>
        <w:shd w:val="clear" w:color="auto" w:fill="auto"/>
        <w:bidi w:val="0"/>
        <w:spacing w:before="0" w:after="0"/>
        <w:ind w:left="940" w:right="0" w:firstLine="0"/>
        <w:jc w:val="left"/>
      </w:pPr>
      <w:bookmarkStart w:id="2" w:name="bookmark2"/>
      <w:r>
        <w:rPr>
          <w:rStyle w:val="CharStyle18"/>
          <w:b/>
          <w:bCs/>
        </w:rPr>
        <w:t>Заявитель:</w:t>
      </w:r>
      <w:bookmarkEnd w:id="2"/>
    </w:p>
    <w:p>
      <w:pPr>
        <w:pStyle w:val="Style12"/>
        <w:keepNext w:val="0"/>
        <w:keepLines w:val="0"/>
        <w:widowControl w:val="0"/>
        <w:shd w:val="clear" w:color="auto" w:fill="auto"/>
        <w:bidi w:val="0"/>
        <w:spacing w:before="0" w:after="0"/>
        <w:ind w:left="940" w:right="0" w:firstLine="0"/>
        <w:jc w:val="left"/>
      </w:pPr>
      <w:r>
        <w:rPr>
          <w:rStyle w:val="CharStyle13"/>
        </w:rPr>
        <w:t>Общество с ограниченной ответственностью</w:t>
      </w:r>
    </w:p>
    <w:p>
      <w:pPr>
        <w:pStyle w:val="Style12"/>
        <w:keepNext w:val="0"/>
        <w:keepLines w:val="0"/>
        <w:widowControl w:val="0"/>
        <w:shd w:val="clear" w:color="auto" w:fill="auto"/>
        <w:bidi w:val="0"/>
        <w:spacing w:before="0" w:after="0"/>
        <w:ind w:left="940" w:right="0" w:firstLine="0"/>
        <w:jc w:val="left"/>
      </w:pPr>
      <w:r>
        <w:rPr>
          <w:rStyle w:val="CharStyle13"/>
        </w:rPr>
        <w:t>«Пауэр Фарм»</w:t>
      </w:r>
    </w:p>
    <w:p>
      <w:pPr>
        <w:pStyle w:val="Style12"/>
        <w:keepNext w:val="0"/>
        <w:keepLines w:val="0"/>
        <w:widowControl w:val="0"/>
        <w:shd w:val="clear" w:color="auto" w:fill="auto"/>
        <w:bidi w:val="0"/>
        <w:spacing w:before="0" w:after="0"/>
        <w:ind w:left="940" w:right="0" w:firstLine="0"/>
        <w:jc w:val="left"/>
      </w:pPr>
      <w:r>
        <w:rPr>
          <w:rStyle w:val="CharStyle13"/>
        </w:rPr>
        <w:t>129345, г. Москва, вн.тер.г. Муниципальный округ Бабушкниский, ул. Осташковская, д. 7, к 1, кв. 69</w:t>
      </w:r>
    </w:p>
    <w:p>
      <w:pPr>
        <w:pStyle w:val="Style12"/>
        <w:keepNext w:val="0"/>
        <w:keepLines w:val="0"/>
        <w:widowControl w:val="0"/>
        <w:shd w:val="clear" w:color="auto" w:fill="auto"/>
        <w:bidi w:val="0"/>
        <w:spacing w:before="0" w:after="280"/>
        <w:ind w:left="0" w:right="0" w:firstLine="940"/>
        <w:jc w:val="left"/>
      </w:pPr>
      <w:r>
        <w:rPr>
          <w:rStyle w:val="CharStyle13"/>
          <w:lang w:val="en-US" w:eastAsia="en-US"/>
        </w:rPr>
        <w:t xml:space="preserve">e-mail: </w:t>
      </w:r>
      <w:r>
        <w:fldChar w:fldCharType="begin"/>
      </w:r>
      <w:r>
        <w:rPr/>
        <w:instrText> HYPERLINK "mailto:info@powerpharm.ru" </w:instrText>
      </w:r>
      <w:r>
        <w:fldChar w:fldCharType="separate"/>
      </w:r>
      <w:r>
        <w:rPr>
          <w:rStyle w:val="CharStyle13"/>
          <w:lang w:val="en-US" w:eastAsia="en-US"/>
        </w:rPr>
        <w:t>info@powerpharm.ru</w:t>
      </w:r>
      <w:r>
        <w:fldChar w:fldCharType="end"/>
      </w:r>
    </w:p>
    <w:p>
      <w:pPr>
        <w:pStyle w:val="Style17"/>
        <w:keepNext/>
        <w:keepLines/>
        <w:widowControl w:val="0"/>
        <w:shd w:val="clear" w:color="auto" w:fill="auto"/>
        <w:bidi w:val="0"/>
        <w:spacing w:before="0" w:after="0"/>
        <w:ind w:left="5320" w:right="0" w:firstLine="0"/>
        <w:jc w:val="left"/>
      </w:pPr>
      <w:bookmarkStart w:id="4" w:name="bookmark4"/>
      <w:r>
        <w:rPr>
          <w:rStyle w:val="CharStyle18"/>
          <w:b/>
          <w:bCs/>
        </w:rPr>
        <w:t>Заказчик:</w:t>
      </w:r>
      <w:bookmarkEnd w:id="4"/>
    </w:p>
    <w:p>
      <w:pPr>
        <w:pStyle w:val="Style12"/>
        <w:keepNext w:val="0"/>
        <w:keepLines w:val="0"/>
        <w:widowControl w:val="0"/>
        <w:shd w:val="clear" w:color="auto" w:fill="auto"/>
        <w:bidi w:val="0"/>
        <w:spacing w:before="0" w:after="0"/>
        <w:ind w:left="5320" w:right="0" w:firstLine="0"/>
        <w:jc w:val="left"/>
      </w:pPr>
      <w:r>
        <w:rPr>
          <w:rStyle w:val="CharStyle13"/>
        </w:rPr>
        <w:t>Бюджетное учреждение Ханты-Мансийского автономного округа — Югры «Сургутская окружная клиническая больница»</w:t>
      </w:r>
    </w:p>
    <w:p>
      <w:pPr>
        <w:pStyle w:val="Style12"/>
        <w:keepNext w:val="0"/>
        <w:keepLines w:val="0"/>
        <w:widowControl w:val="0"/>
        <w:shd w:val="clear" w:color="auto" w:fill="auto"/>
        <w:bidi w:val="0"/>
        <w:spacing w:before="0" w:after="280"/>
        <w:ind w:left="5320" w:right="0" w:firstLine="0"/>
        <w:jc w:val="left"/>
      </w:pPr>
      <w:r>
        <w:rPr>
          <w:rStyle w:val="CharStyle13"/>
        </w:rPr>
        <w:t xml:space="preserve">628408, Ханты-Мансийский автономный округ — Югра, г. Сургут, ул. Энергетиков, д. 24, к. 2 </w:t>
      </w:r>
      <w:r>
        <w:rPr>
          <w:rStyle w:val="CharStyle13"/>
          <w:lang w:val="en-US" w:eastAsia="en-US"/>
        </w:rPr>
        <w:t xml:space="preserve">e-mail: </w:t>
      </w:r>
      <w:r>
        <w:fldChar w:fldCharType="begin"/>
      </w:r>
      <w:r>
        <w:rPr/>
        <w:instrText> HYPERLINK "mailto:surgutokb@surgutokb.ru" </w:instrText>
      </w:r>
      <w:r>
        <w:fldChar w:fldCharType="separate"/>
      </w:r>
      <w:r>
        <w:rPr>
          <w:rStyle w:val="CharStyle13"/>
          <w:lang w:val="en-US" w:eastAsia="en-US"/>
        </w:rPr>
        <w:t>surgutokb@surgutokb.ru</w:t>
      </w:r>
      <w:r>
        <w:fldChar w:fldCharType="end"/>
      </w:r>
    </w:p>
    <w:p>
      <w:pPr>
        <w:pStyle w:val="Style17"/>
        <w:keepNext/>
        <w:keepLines/>
        <w:widowControl w:val="0"/>
        <w:shd w:val="clear" w:color="auto" w:fill="auto"/>
        <w:bidi w:val="0"/>
        <w:spacing w:before="0" w:after="320" w:line="240" w:lineRule="auto"/>
        <w:ind w:left="0" w:right="0" w:firstLine="0"/>
        <w:jc w:val="center"/>
      </w:pPr>
      <w:bookmarkStart w:id="6" w:name="bookmark6"/>
      <w:r>
        <w:rPr>
          <w:rStyle w:val="CharStyle18"/>
          <w:b/>
          <w:bCs/>
        </w:rPr>
        <w:t>РЕШЕНИЕ № 086/06/48-824/2026</w:t>
      </w:r>
      <w:bookmarkEnd w:id="6"/>
    </w:p>
    <w:p>
      <w:pPr>
        <w:pStyle w:val="Style12"/>
        <w:keepNext w:val="0"/>
        <w:keepLines w:val="0"/>
        <w:widowControl w:val="0"/>
        <w:shd w:val="clear" w:color="auto" w:fill="auto"/>
        <w:tabs>
          <w:tab w:pos="7810" w:val="left"/>
        </w:tabs>
        <w:bidi w:val="0"/>
        <w:spacing w:before="0" w:after="0"/>
        <w:ind w:left="0" w:right="0" w:firstLine="0"/>
        <w:jc w:val="left"/>
      </w:pPr>
      <w:r>
        <w:rPr>
          <w:rStyle w:val="CharStyle13"/>
        </w:rPr>
        <w:t>Резолютивная часть объявлена 05.05.2026</w:t>
        <w:tab/>
        <w:t>г. Ханты-Мансийск</w:t>
      </w:r>
    </w:p>
    <w:p>
      <w:pPr>
        <w:pStyle w:val="Style12"/>
        <w:keepNext w:val="0"/>
        <w:keepLines w:val="0"/>
        <w:widowControl w:val="0"/>
        <w:shd w:val="clear" w:color="auto" w:fill="auto"/>
        <w:bidi w:val="0"/>
        <w:spacing w:before="0" w:after="280"/>
        <w:ind w:left="0" w:right="0" w:firstLine="0"/>
        <w:jc w:val="left"/>
      </w:pPr>
      <w:r>
        <w:rPr>
          <w:rStyle w:val="CharStyle13"/>
        </w:rPr>
        <w:t>Изготовлено в полном объеме 08.05.2026</w:t>
      </w:r>
    </w:p>
    <w:p>
      <w:pPr>
        <w:pStyle w:val="Style12"/>
        <w:keepNext w:val="0"/>
        <w:keepLines w:val="0"/>
        <w:widowControl w:val="0"/>
        <w:shd w:val="clear" w:color="auto" w:fill="auto"/>
        <w:bidi w:val="0"/>
        <w:spacing w:before="0" w:after="280"/>
        <w:ind w:left="0" w:right="0" w:firstLine="720"/>
        <w:jc w:val="left"/>
      </w:pPr>
      <w:r>
        <w:rPr>
          <w:rStyle w:val="CharStyle13"/>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2"/>
        <w:keepNext w:val="0"/>
        <w:keepLines w:val="0"/>
        <w:widowControl w:val="0"/>
        <w:shd w:val="clear" w:color="auto" w:fill="auto"/>
        <w:bidi w:val="0"/>
        <w:spacing w:before="0" w:after="0"/>
        <w:ind w:left="0" w:right="0" w:firstLine="720"/>
        <w:jc w:val="left"/>
      </w:pPr>
      <w:r>
        <w:rPr>
          <w:rStyle w:val="CharStyle13"/>
        </w:rPr>
        <w:t>Председатель комиссии:</w:t>
      </w:r>
    </w:p>
    <w:p>
      <w:pPr>
        <w:pStyle w:val="Style12"/>
        <w:keepNext w:val="0"/>
        <w:keepLines w:val="0"/>
        <w:widowControl w:val="0"/>
        <w:numPr>
          <w:ilvl w:val="0"/>
          <w:numId w:val="1"/>
        </w:numPr>
        <w:shd w:val="clear" w:color="auto" w:fill="auto"/>
        <w:tabs>
          <w:tab w:pos="992" w:val="left"/>
        </w:tabs>
        <w:bidi w:val="0"/>
        <w:spacing w:before="0" w:after="0"/>
        <w:ind w:left="0" w:right="0" w:firstLine="720"/>
        <w:jc w:val="left"/>
      </w:pPr>
      <w:r>
        <w:rPr>
          <w:rStyle w:val="CharStyle13"/>
        </w:rPr>
        <w:t>Бочков С.А. – Руководитель Управления,</w:t>
      </w:r>
    </w:p>
    <w:p>
      <w:pPr>
        <w:pStyle w:val="Style12"/>
        <w:keepNext w:val="0"/>
        <w:keepLines w:val="0"/>
        <w:widowControl w:val="0"/>
        <w:shd w:val="clear" w:color="auto" w:fill="auto"/>
        <w:bidi w:val="0"/>
        <w:spacing w:before="0" w:after="0"/>
        <w:ind w:left="0" w:right="0" w:firstLine="720"/>
        <w:jc w:val="left"/>
      </w:pPr>
      <w:r>
        <w:rPr>
          <w:rStyle w:val="CharStyle13"/>
        </w:rPr>
        <w:t>Членов комиссии:</w:t>
      </w:r>
    </w:p>
    <w:p>
      <w:pPr>
        <w:pStyle w:val="Style12"/>
        <w:keepNext w:val="0"/>
        <w:keepLines w:val="0"/>
        <w:widowControl w:val="0"/>
        <w:numPr>
          <w:ilvl w:val="0"/>
          <w:numId w:val="1"/>
        </w:numPr>
        <w:shd w:val="clear" w:color="auto" w:fill="auto"/>
        <w:tabs>
          <w:tab w:pos="997" w:val="left"/>
        </w:tabs>
        <w:bidi w:val="0"/>
        <w:spacing w:before="0" w:after="0"/>
        <w:ind w:left="0" w:right="0" w:firstLine="720"/>
        <w:jc w:val="left"/>
      </w:pPr>
      <w:r>
        <w:rPr>
          <w:rStyle w:val="CharStyle13"/>
        </w:rPr>
        <w:t>Михайлова О.Н. – Старший специалист 1 разряда отдела контроля закупок,</w:t>
      </w:r>
    </w:p>
    <w:p>
      <w:pPr>
        <w:pStyle w:val="Style12"/>
        <w:keepNext w:val="0"/>
        <w:keepLines w:val="0"/>
        <w:widowControl w:val="0"/>
        <w:numPr>
          <w:ilvl w:val="0"/>
          <w:numId w:val="1"/>
        </w:numPr>
        <w:shd w:val="clear" w:color="auto" w:fill="auto"/>
        <w:tabs>
          <w:tab w:pos="997" w:val="left"/>
        </w:tabs>
        <w:bidi w:val="0"/>
        <w:spacing w:before="0" w:after="280"/>
        <w:ind w:left="0" w:right="0" w:firstLine="720"/>
        <w:jc w:val="left"/>
      </w:pPr>
      <w:r>
        <w:rPr>
          <w:rStyle w:val="CharStyle13"/>
        </w:rPr>
        <w:t>Шаврин А.В. – Эксперт отдела контроля закупок,</w:t>
      </w:r>
    </w:p>
    <w:p>
      <w:pPr>
        <w:pStyle w:val="Style12"/>
        <w:keepNext w:val="0"/>
        <w:keepLines w:val="0"/>
        <w:widowControl w:val="0"/>
        <w:shd w:val="clear" w:color="auto" w:fill="auto"/>
        <w:bidi w:val="0"/>
        <w:spacing w:before="0" w:after="0"/>
        <w:ind w:left="0" w:right="0" w:firstLine="720"/>
        <w:jc w:val="left"/>
      </w:pPr>
      <w:r>
        <w:rPr>
          <w:rStyle w:val="CharStyle13"/>
        </w:rPr>
        <w:t>от Заявителя – отсутствовали, уведомлены надлежащим образом,</w:t>
      </w:r>
    </w:p>
    <w:p>
      <w:pPr>
        <w:pStyle w:val="Style12"/>
        <w:keepNext w:val="0"/>
        <w:keepLines w:val="0"/>
        <w:widowControl w:val="0"/>
        <w:shd w:val="clear" w:color="auto" w:fill="auto"/>
        <w:bidi w:val="0"/>
        <w:spacing w:before="0" w:after="280"/>
        <w:ind w:left="0" w:right="0" w:firstLine="720"/>
        <w:jc w:val="left"/>
      </w:pPr>
      <w:r>
        <w:rPr>
          <w:rStyle w:val="CharStyle13"/>
        </w:rPr>
        <w:t>от Заказчика – посредством видео-конференцсвязи Костина А.А. по доверенности № 07/19- исх-7 от 14.01.2026 г.,</w:t>
      </w:r>
    </w:p>
    <w:p>
      <w:pPr>
        <w:pStyle w:val="Style12"/>
        <w:keepNext w:val="0"/>
        <w:keepLines w:val="0"/>
        <w:widowControl w:val="0"/>
        <w:shd w:val="clear" w:color="auto" w:fill="auto"/>
        <w:bidi w:val="0"/>
        <w:spacing w:before="0" w:after="280"/>
        <w:ind w:left="0" w:right="0" w:firstLine="720"/>
        <w:jc w:val="left"/>
      </w:pPr>
      <w:r>
        <w:rPr>
          <w:rStyle w:val="CharStyle13"/>
        </w:rPr>
        <w:t>рассмотрев жалобу Общества с ограниченной ответственностью «Пауэр Фарм» (далее — ООО «Пауэр Фарм») (ИНН: 7734417680) от 29.04.2026 № 4772/26, на действия Заказчика - Бюджетного учреждения Ханты-Мансийского автономного округа — Югры «Сургутская окружная клиническая больница», при проведении электронного аукциона, предметом которого является</w:t>
      </w:r>
    </w:p>
    <w:p>
      <w:pPr>
        <w:pStyle w:val="Style12"/>
        <w:keepNext w:val="0"/>
        <w:keepLines w:val="0"/>
        <w:widowControl w:val="0"/>
        <w:shd w:val="clear" w:color="auto" w:fill="auto"/>
        <w:bidi w:val="0"/>
        <w:spacing w:before="0" w:after="280"/>
        <w:ind w:left="0" w:right="0" w:firstLine="0"/>
        <w:jc w:val="both"/>
      </w:pPr>
      <w:r>
        <w:rPr>
          <w:rStyle w:val="CharStyle13"/>
        </w:rPr>
        <w:t xml:space="preserve">поставка реагентов и растворов, совместимых с гематологическими анализаторами </w:t>
      </w:r>
      <w:r>
        <w:rPr>
          <w:rStyle w:val="CharStyle13"/>
          <w:lang w:val="en-US" w:eastAsia="en-US"/>
        </w:rPr>
        <w:t xml:space="preserve">Sysmex XN - 1000, XS 1000 </w:t>
      </w:r>
      <w:r>
        <w:rPr>
          <w:rStyle w:val="CharStyle13"/>
        </w:rPr>
        <w:t xml:space="preserve">используемыми Заказчиком (извещение </w:t>
      </w:r>
      <w:r>
        <w:rPr>
          <w:rStyle w:val="CharStyle13"/>
          <w:lang w:val="en-US" w:eastAsia="en-US"/>
        </w:rPr>
        <w:t xml:space="preserve">№ 0387200000926000298) </w:t>
      </w:r>
      <w:r>
        <w:rPr>
          <w:rStyle w:val="CharStyle13"/>
        </w:rPr>
        <w:t xml:space="preserve">и в результате осуществления внеплановой проверки в соответствии с пунктом </w:t>
      </w:r>
      <w:r>
        <w:rPr>
          <w:rStyle w:val="CharStyle13"/>
          <w:lang w:val="en-US" w:eastAsia="en-US"/>
        </w:rPr>
        <w:t xml:space="preserve">1 </w:t>
      </w:r>
      <w:r>
        <w:rPr>
          <w:rStyle w:val="CharStyle13"/>
        </w:rPr>
        <w:t xml:space="preserve">части </w:t>
      </w:r>
      <w:r>
        <w:rPr>
          <w:rStyle w:val="CharStyle13"/>
          <w:lang w:val="en-US" w:eastAsia="en-US"/>
        </w:rPr>
        <w:t xml:space="preserve">15 </w:t>
      </w:r>
      <w:r>
        <w:rPr>
          <w:rStyle w:val="CharStyle13"/>
        </w:rPr>
        <w:t xml:space="preserve">статьи </w:t>
      </w:r>
      <w:r>
        <w:rPr>
          <w:rStyle w:val="CharStyle13"/>
          <w:lang w:val="en-US" w:eastAsia="en-US"/>
        </w:rPr>
        <w:t xml:space="preserve">99 </w:t>
      </w:r>
      <w:r>
        <w:rPr>
          <w:rStyle w:val="CharStyle13"/>
        </w:rPr>
        <w:t xml:space="preserve">Федерального закона от </w:t>
      </w:r>
      <w:r>
        <w:rPr>
          <w:rStyle w:val="CharStyle13"/>
          <w:lang w:val="en-US" w:eastAsia="en-US"/>
        </w:rPr>
        <w:t xml:space="preserve">05.04.2013 № </w:t>
      </w:r>
      <w:r>
        <w:rPr>
          <w:rStyle w:val="CharStyle13"/>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3"/>
          <w:lang w:val="en-US" w:eastAsia="en-US"/>
        </w:rPr>
        <w:t xml:space="preserve">- </w:t>
      </w:r>
      <w:r>
        <w:rPr>
          <w:rStyle w:val="CharStyle13"/>
        </w:rPr>
        <w:t>Закон о контрактной системе),</w:t>
      </w:r>
    </w:p>
    <w:p>
      <w:pPr>
        <w:pStyle w:val="Style17"/>
        <w:keepNext/>
        <w:keepLines/>
        <w:widowControl w:val="0"/>
        <w:shd w:val="clear" w:color="auto" w:fill="auto"/>
        <w:bidi w:val="0"/>
        <w:spacing w:before="0" w:after="280"/>
        <w:ind w:left="0" w:right="0" w:firstLine="0"/>
        <w:jc w:val="center"/>
      </w:pPr>
      <w:bookmarkStart w:id="8" w:name="bookmark8"/>
      <w:r>
        <w:rPr>
          <w:rStyle w:val="CharStyle18"/>
          <w:b/>
          <w:bCs/>
        </w:rPr>
        <w:t>УСТАНОВИЛА:</w:t>
      </w:r>
      <w:bookmarkEnd w:id="8"/>
    </w:p>
    <w:p>
      <w:pPr>
        <w:pStyle w:val="Style12"/>
        <w:keepNext w:val="0"/>
        <w:keepLines w:val="0"/>
        <w:widowControl w:val="0"/>
        <w:shd w:val="clear" w:color="auto" w:fill="auto"/>
        <w:bidi w:val="0"/>
        <w:spacing w:before="0" w:after="0"/>
        <w:ind w:left="0" w:right="0" w:firstLine="720"/>
        <w:jc w:val="both"/>
      </w:pPr>
      <w:r>
        <w:rPr>
          <w:rStyle w:val="CharStyle13"/>
        </w:rPr>
        <w:t xml:space="preserve">В Управление Федеральной антимонопольной службы по Ханты-Мансийскому автономному округу </w:t>
      </w:r>
      <w:r>
        <w:rPr>
          <w:rStyle w:val="CharStyle13"/>
          <w:lang w:val="en-US" w:eastAsia="en-US"/>
        </w:rPr>
        <w:t xml:space="preserve">– </w:t>
      </w:r>
      <w:r>
        <w:rPr>
          <w:rStyle w:val="CharStyle13"/>
        </w:rPr>
        <w:t xml:space="preserve">Югре поступила жалоба ООО «Пауэр Фарм» (ИНН: </w:t>
      </w:r>
      <w:r>
        <w:rPr>
          <w:rStyle w:val="CharStyle13"/>
          <w:lang w:val="en-US" w:eastAsia="en-US"/>
        </w:rPr>
        <w:t xml:space="preserve">7734417680) </w:t>
      </w:r>
      <w:r>
        <w:rPr>
          <w:rStyle w:val="CharStyle13"/>
        </w:rPr>
        <w:t xml:space="preserve">от </w:t>
      </w:r>
      <w:r>
        <w:rPr>
          <w:rStyle w:val="CharStyle13"/>
          <w:lang w:val="en-US" w:eastAsia="en-US"/>
        </w:rPr>
        <w:t xml:space="preserve">29.04.2026 № 4772/26, </w:t>
      </w:r>
      <w:r>
        <w:rPr>
          <w:rStyle w:val="CharStyle13"/>
        </w:rPr>
        <w:t xml:space="preserve">на действия Заказчика </w:t>
      </w:r>
      <w:r>
        <w:rPr>
          <w:rStyle w:val="CharStyle13"/>
          <w:lang w:val="en-US" w:eastAsia="en-US"/>
        </w:rPr>
        <w:t xml:space="preserve">- </w:t>
      </w:r>
      <w:r>
        <w:rPr>
          <w:rStyle w:val="CharStyle13"/>
        </w:rPr>
        <w:t xml:space="preserve">Бюджетного учреждения Ханты-Мансийского автономного округа </w:t>
      </w:r>
      <w:r>
        <w:rPr>
          <w:rStyle w:val="CharStyle13"/>
          <w:lang w:val="en-US" w:eastAsia="en-US"/>
        </w:rPr>
        <w:t xml:space="preserve">— </w:t>
      </w:r>
      <w:r>
        <w:rPr>
          <w:rStyle w:val="CharStyle13"/>
        </w:rPr>
        <w:t xml:space="preserve">Югры «Сургутская окружная клиническая больница», при проведении электронного аукциона, предметом которого является поставка реагентов и растворов, совместимых с гематологическими анализаторами </w:t>
      </w:r>
      <w:r>
        <w:rPr>
          <w:rStyle w:val="CharStyle13"/>
          <w:lang w:val="en-US" w:eastAsia="en-US"/>
        </w:rPr>
        <w:t xml:space="preserve">Sysmex XN - 1000, XS 1000 </w:t>
      </w:r>
      <w:r>
        <w:rPr>
          <w:rStyle w:val="CharStyle13"/>
        </w:rPr>
        <w:t xml:space="preserve">используемыми Заказчиком (извещение </w:t>
      </w:r>
      <w:r>
        <w:rPr>
          <w:rStyle w:val="CharStyle13"/>
          <w:lang w:val="en-US" w:eastAsia="en-US"/>
        </w:rPr>
        <w:t>№ 0387200000926000298).</w:t>
      </w:r>
    </w:p>
    <w:p>
      <w:pPr>
        <w:pStyle w:val="Style12"/>
        <w:keepNext w:val="0"/>
        <w:keepLines w:val="0"/>
        <w:widowControl w:val="0"/>
        <w:shd w:val="clear" w:color="auto" w:fill="auto"/>
        <w:bidi w:val="0"/>
        <w:spacing w:before="0" w:after="280"/>
        <w:ind w:left="0" w:right="0" w:firstLine="720"/>
        <w:jc w:val="both"/>
      </w:pPr>
      <w:r>
        <w:rPr>
          <w:rStyle w:val="CharStyle13"/>
          <w:color w:val="0A0A0A"/>
        </w:rPr>
        <w:t xml:space="preserve">По мнению Заявителя, </w:t>
      </w:r>
      <w:r>
        <w:rPr>
          <w:rStyle w:val="CharStyle13"/>
        </w:rPr>
        <w:t xml:space="preserve">в заявке с порядковым номером </w:t>
      </w:r>
      <w:r>
        <w:rPr>
          <w:rStyle w:val="CharStyle13"/>
          <w:lang w:val="en-US" w:eastAsia="en-US"/>
        </w:rPr>
        <w:t xml:space="preserve">4 </w:t>
      </w:r>
      <w:r>
        <w:rPr>
          <w:rStyle w:val="CharStyle13"/>
        </w:rPr>
        <w:t xml:space="preserve">и идентификационным номером </w:t>
      </w:r>
      <w:r>
        <w:rPr>
          <w:rStyle w:val="CharStyle13"/>
          <w:lang w:val="en-US" w:eastAsia="en-US"/>
        </w:rPr>
        <w:t xml:space="preserve">121065956 </w:t>
      </w:r>
      <w:r>
        <w:rPr>
          <w:rStyle w:val="CharStyle13"/>
        </w:rPr>
        <w:t xml:space="preserve">не было представлено подтверждение соответствия предлагаемого к поставке товара требованиям национального режима, так как характеристики описания объекта закупки, данные государственного реестра медицинских изделий и данные записи в реестре российской промышленной продукции не совпадают. В связи с этим, являлось ненадлежащим применение ограничения в отношении заявок с порядковыми номерами </w:t>
      </w:r>
      <w:r>
        <w:rPr>
          <w:rStyle w:val="CharStyle13"/>
          <w:lang w:val="en-US" w:eastAsia="en-US"/>
        </w:rPr>
        <w:t xml:space="preserve">1-3, </w:t>
      </w:r>
      <w:r>
        <w:rPr>
          <w:rStyle w:val="CharStyle13"/>
        </w:rPr>
        <w:t>в которых не были представлены номера регистрационных записей из реестра российской промышленной продукции.</w:t>
      </w:r>
    </w:p>
    <w:p>
      <w:pPr>
        <w:pStyle w:val="Style12"/>
        <w:keepNext w:val="0"/>
        <w:keepLines w:val="0"/>
        <w:widowControl w:val="0"/>
        <w:shd w:val="clear" w:color="auto" w:fill="auto"/>
        <w:bidi w:val="0"/>
        <w:spacing w:before="0" w:after="40" w:line="240" w:lineRule="auto"/>
        <w:ind w:left="0" w:right="0" w:firstLine="720"/>
        <w:jc w:val="both"/>
      </w:pPr>
      <w:r>
        <w:rPr>
          <w:rStyle w:val="CharStyle13"/>
          <w:b/>
          <w:bCs/>
        </w:rPr>
        <w:t>В ходе рассмотрения доводов сторон, материалов дела и проведения внеплановой</w:t>
      </w:r>
    </w:p>
    <w:p>
      <w:pPr>
        <w:pStyle w:val="Style24"/>
        <w:keepNext w:val="0"/>
        <w:keepLines w:val="0"/>
        <w:widowControl w:val="0"/>
        <w:shd w:val="clear" w:color="auto" w:fill="auto"/>
        <w:bidi w:val="0"/>
        <w:spacing w:before="0" w:after="0" w:line="240" w:lineRule="auto"/>
        <w:ind w:left="0" w:right="0" w:firstLine="0"/>
        <w:jc w:val="left"/>
        <w:rPr>
          <w:sz w:val="24"/>
          <w:szCs w:val="24"/>
        </w:rPr>
      </w:pPr>
      <w:r>
        <w:rPr>
          <w:rStyle w:val="CharStyle25"/>
          <w:b/>
          <w:bCs/>
          <w:sz w:val="24"/>
          <w:szCs w:val="24"/>
        </w:rPr>
        <w:t>проверки, Комиссией Управления установлено следующее.</w:t>
      </w:r>
    </w:p>
    <w:p>
      <w:pPr>
        <w:pStyle w:val="Style24"/>
        <w:keepNext w:val="0"/>
        <w:keepLines w:val="0"/>
        <w:widowControl w:val="0"/>
        <w:shd w:val="clear" w:color="auto" w:fill="auto"/>
        <w:bidi w:val="0"/>
        <w:spacing w:before="0" w:after="0" w:line="240" w:lineRule="auto"/>
        <w:ind w:left="0" w:right="0" w:firstLine="0"/>
        <w:jc w:val="left"/>
        <w:rPr>
          <w:sz w:val="24"/>
          <w:szCs w:val="24"/>
        </w:rPr>
      </w:pPr>
      <w:r>
        <w:rPr>
          <w:rStyle w:val="CharStyle25"/>
          <w:sz w:val="24"/>
          <w:szCs w:val="24"/>
        </w:rPr>
        <w:t xml:space="preserve">Согласно извещению по закупке </w:t>
      </w:r>
      <w:r>
        <w:rPr>
          <w:rStyle w:val="CharStyle25"/>
          <w:sz w:val="24"/>
          <w:szCs w:val="24"/>
          <w:lang w:val="en-US" w:eastAsia="en-US"/>
        </w:rPr>
        <w:t xml:space="preserve">№ 0387200000926000298 </w:t>
      </w:r>
      <w:r>
        <w:rPr>
          <w:rStyle w:val="CharStyle25"/>
          <w:sz w:val="24"/>
          <w:szCs w:val="24"/>
        </w:rPr>
        <w:t>Заказчику требуется:</w:t>
      </w:r>
    </w:p>
    <w:tbl>
      <w:tblPr>
        <w:tblOverlap w:val="never"/>
        <w:jc w:val="center"/>
        <w:tblLayout w:type="fixed"/>
      </w:tblPr>
      <w:tblGrid>
        <w:gridCol w:w="2059"/>
        <w:gridCol w:w="1536"/>
        <w:gridCol w:w="1066"/>
        <w:gridCol w:w="1363"/>
        <w:gridCol w:w="1104"/>
        <w:gridCol w:w="1646"/>
        <w:gridCol w:w="1445"/>
      </w:tblGrid>
      <w:tr>
        <w:trPr>
          <w:trHeight w:val="864"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b/>
                <w:bCs/>
                <w:sz w:val="20"/>
                <w:szCs w:val="20"/>
              </w:rPr>
              <w:t>Наименование товара, работы, услуги</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200"/>
              <w:jc w:val="left"/>
              <w:rPr>
                <w:sz w:val="20"/>
                <w:szCs w:val="20"/>
              </w:rPr>
            </w:pPr>
            <w:r>
              <w:rPr>
                <w:rStyle w:val="CharStyle3"/>
                <w:b/>
                <w:bCs/>
                <w:sz w:val="20"/>
                <w:szCs w:val="20"/>
              </w:rPr>
              <w:t>Код позиции</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b/>
                <w:bCs/>
                <w:sz w:val="20"/>
                <w:szCs w:val="20"/>
              </w:rPr>
              <w:t>Тип позиции</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b/>
                <w:bCs/>
                <w:sz w:val="20"/>
                <w:szCs w:val="20"/>
              </w:rPr>
              <w:t>Единица измерения</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b/>
                <w:bCs/>
                <w:sz w:val="20"/>
                <w:szCs w:val="20"/>
              </w:rPr>
              <w:t>Цена за единицу</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b/>
                <w:bCs/>
                <w:sz w:val="20"/>
                <w:szCs w:val="20"/>
              </w:rPr>
              <w:t>Количество (объем работы, услуги)</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b/>
                <w:bCs/>
                <w:sz w:val="20"/>
                <w:szCs w:val="20"/>
              </w:rPr>
              <w:t>Стоимость позиции</w:t>
            </w:r>
          </w:p>
        </w:tc>
      </w:tr>
      <w:tr>
        <w:trPr>
          <w:trHeight w:val="1094" w:hRule="exact"/>
        </w:trPr>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 xml:space="preserve">Реагент для лизиса клеток крови ИВД Идентификатор: </w:t>
            </w:r>
            <w:r>
              <w:rPr>
                <w:rStyle w:val="CharStyle3"/>
                <w:sz w:val="20"/>
                <w:szCs w:val="20"/>
                <w:lang w:val="en-US" w:eastAsia="en-US"/>
              </w:rPr>
              <w:t>211354423</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lang w:val="en-US" w:eastAsia="en-US"/>
              </w:rPr>
              <w:t>21.20.23.110</w:t>
              <w:softHyphen/>
            </w:r>
          </w:p>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lang w:val="en-US" w:eastAsia="en-US"/>
              </w:rPr>
              <w:t>00011121</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Товар</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rPr>
              <w:t>Штука</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lang w:val="en-US" w:eastAsia="en-US"/>
              </w:rPr>
              <w:t>37239.66</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lang w:val="en-US" w:eastAsia="en-US"/>
              </w:rPr>
              <w:t>2</w:t>
            </w:r>
          </w:p>
        </w:tc>
        <w:tc>
          <w:tcPr>
            <w:tcBorders>
              <w:top w:val="single" w:sz="4"/>
              <w:left w:val="single" w:sz="4"/>
              <w:bottom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lang w:val="en-US" w:eastAsia="en-US"/>
              </w:rPr>
              <w:t>74479.32</w:t>
            </w:r>
          </w:p>
        </w:tc>
      </w:tr>
    </w:tbl>
    <w:p>
      <w:pPr>
        <w:widowControl w:val="0"/>
        <w:spacing w:after="339" w:line="1" w:lineRule="exact"/>
      </w:pPr>
    </w:p>
    <w:p>
      <w:pPr>
        <w:widowControl w:val="0"/>
        <w:spacing w:line="1" w:lineRule="exact"/>
      </w:pPr>
    </w:p>
    <w:p>
      <w:pPr>
        <w:pStyle w:val="Style24"/>
        <w:keepNext w:val="0"/>
        <w:keepLines w:val="0"/>
        <w:widowControl w:val="0"/>
        <w:shd w:val="clear" w:color="auto" w:fill="auto"/>
        <w:bidi w:val="0"/>
        <w:spacing w:before="0" w:after="0" w:line="240" w:lineRule="auto"/>
        <w:ind w:left="0" w:right="0" w:firstLine="0"/>
        <w:jc w:val="right"/>
      </w:pPr>
      <w:r>
        <w:rPr>
          <w:rStyle w:val="CharStyle25"/>
          <w:b/>
          <w:bCs/>
        </w:rPr>
        <w:t xml:space="preserve">Характеристики товара, работы, услуги </w:t>
      </w:r>
      <w:r>
        <w:rPr>
          <w:rStyle w:val="CharStyle25"/>
          <w:b/>
          <w:bCs/>
          <w:lang w:val="en-US" w:eastAsia="en-US"/>
        </w:rPr>
        <w:t xml:space="preserve">( </w:t>
      </w:r>
      <w:r>
        <w:rPr>
          <w:rStyle w:val="CharStyle25"/>
          <w:b/>
          <w:bCs/>
        </w:rPr>
        <w:t xml:space="preserve">Реагент для лизиса клеток крови ИВД </w:t>
      </w:r>
      <w:r>
        <w:rPr>
          <w:rStyle w:val="CharStyle25"/>
          <w:b/>
          <w:bCs/>
          <w:lang w:val="en-US" w:eastAsia="en-US"/>
        </w:rPr>
        <w:t>)</w:t>
      </w:r>
    </w:p>
    <w:tbl>
      <w:tblPr>
        <w:tblOverlap w:val="never"/>
        <w:jc w:val="center"/>
        <w:tblLayout w:type="fixed"/>
      </w:tblPr>
      <w:tblGrid>
        <w:gridCol w:w="1493"/>
        <w:gridCol w:w="2650"/>
        <w:gridCol w:w="1099"/>
        <w:gridCol w:w="2098"/>
        <w:gridCol w:w="2822"/>
      </w:tblGrid>
      <w:tr>
        <w:trPr>
          <w:trHeight w:val="1325"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b/>
                <w:bCs/>
                <w:sz w:val="20"/>
                <w:szCs w:val="20"/>
              </w:rPr>
              <w:t>Наименование характеристи ки</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140"/>
              <w:jc w:val="left"/>
              <w:rPr>
                <w:sz w:val="20"/>
                <w:szCs w:val="20"/>
              </w:rPr>
            </w:pPr>
            <w:r>
              <w:rPr>
                <w:rStyle w:val="CharStyle3"/>
                <w:b/>
                <w:bCs/>
                <w:sz w:val="20"/>
                <w:szCs w:val="20"/>
              </w:rPr>
              <w:t>Значение характеристики</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b/>
                <w:bCs/>
                <w:sz w:val="20"/>
                <w:szCs w:val="20"/>
              </w:rPr>
              <w:t>Единица измерени я характери стики</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b/>
                <w:bCs/>
                <w:sz w:val="20"/>
                <w:szCs w:val="20"/>
              </w:rPr>
              <w:t>Инструкция по заполнению характеристики в заявке</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b/>
                <w:bCs/>
                <w:sz w:val="20"/>
                <w:szCs w:val="20"/>
              </w:rPr>
              <w:t>Обоснование включения дополнительной информации в сведения о товаре, работе, услуге</w:t>
            </w:r>
          </w:p>
        </w:tc>
      </w:tr>
      <w:tr>
        <w:trPr>
          <w:trHeight w:val="1042"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Назначение</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 xml:space="preserve">Для анализаторов серий </w:t>
            </w:r>
            <w:r>
              <w:rPr>
                <w:rStyle w:val="CharStyle3"/>
                <w:sz w:val="20"/>
                <w:szCs w:val="20"/>
                <w:lang w:val="en-US" w:eastAsia="en-US"/>
              </w:rPr>
              <w:t>XN, XN-L, XT, XS, XP</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widowControl w:val="0"/>
              <w:rPr>
                <w:sz w:val="10"/>
                <w:szCs w:val="10"/>
              </w:rPr>
            </w:pPr>
          </w:p>
        </w:tc>
      </w:tr>
      <w:tr>
        <w:trPr>
          <w:trHeight w:val="811" w:hRule="exact"/>
        </w:trPr>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Объем реагента</w:t>
            </w:r>
          </w:p>
        </w:tc>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lang w:val="en-US" w:eastAsia="en-US"/>
              </w:rPr>
              <w:t>5000</w:t>
            </w:r>
          </w:p>
        </w:tc>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rPr>
              <w:t>Кубически й сантиметр;</w:t>
            </w:r>
          </w:p>
        </w:tc>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rPr>
              <w:t>Значение характеристики не может изменяться</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1493"/>
        <w:gridCol w:w="2650"/>
        <w:gridCol w:w="1099"/>
        <w:gridCol w:w="2102"/>
        <w:gridCol w:w="2813"/>
      </w:tblGrid>
      <w:tr>
        <w:trPr>
          <w:trHeight w:val="3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rPr>
              <w:t>миллилитр</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rPr>
              <w:t>участником закупки</w:t>
            </w:r>
          </w:p>
        </w:tc>
        <w:tc>
          <w:tcPr>
            <w:tcBorders>
              <w:top w:val="single" w:sz="4"/>
              <w:left w:val="single" w:sz="4"/>
              <w:right w:val="single" w:sz="4"/>
            </w:tcBorders>
            <w:shd w:val="clear" w:color="auto" w:fill="auto"/>
            <w:vAlign w:val="top"/>
          </w:tcPr>
          <w:p>
            <w:pPr>
              <w:widowControl w:val="0"/>
              <w:rPr>
                <w:sz w:val="10"/>
                <w:szCs w:val="10"/>
              </w:rPr>
            </w:pPr>
          </w:p>
        </w:tc>
      </w:tr>
      <w:tr>
        <w:trPr>
          <w:trHeight w:val="2654"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Применение</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 xml:space="preserve">Измерение концентрации гемоглобина основано на методе лаурилсульфата натрия, где лаурилсульфат натрия </w:t>
            </w:r>
            <w:r>
              <w:rPr>
                <w:rStyle w:val="CharStyle3"/>
                <w:sz w:val="20"/>
                <w:szCs w:val="20"/>
                <w:lang w:val="en-US" w:eastAsia="en-US"/>
              </w:rPr>
              <w:t xml:space="preserve">(SLS) </w:t>
            </w:r>
            <w:r>
              <w:rPr>
                <w:rStyle w:val="CharStyle3"/>
                <w:sz w:val="20"/>
                <w:szCs w:val="20"/>
              </w:rPr>
              <w:t>лизирует мембраны эритроцитов и высвобождает гемоглобин. Реагент присоединяется к высвобожденному гемоглобину и формирует стабильный гемихром</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rPr>
              <w:t>Применение: Для идентификации приобретаемого реагента и стабильной работы оборудования Срок годности после вскрытия: Минимальное необходимое время хранения определяется исходя из возможностей лаборатории.</w:t>
            </w:r>
          </w:p>
        </w:tc>
      </w:tr>
      <w:tr>
        <w:trPr>
          <w:trHeight w:val="2198" w:hRule="exact"/>
        </w:trPr>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Срок годности после вскрытия</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lang w:val="en-US" w:eastAsia="en-US"/>
              </w:rPr>
              <w:t>≥ 60</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rPr>
              <w:t>Сутки</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rPr>
              <w:t>Участник закупки указывает в заявке конкретное значение характеристики</w:t>
            </w:r>
          </w:p>
        </w:tc>
        <w:tc>
          <w:tcPr>
            <w:tcBorders>
              <w:top w:val="single" w:sz="4"/>
              <w:left w:val="single" w:sz="4"/>
              <w:bottom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rPr>
              <w:t>Применение: Для идентификации приобретаемого реагента и стабильной работы оборудования Срок годности после вскрытия: Минимальное необходимое время хранения определяется исходя из возможностей лаборатории.</w:t>
            </w:r>
          </w:p>
        </w:tc>
      </w:tr>
    </w:tbl>
    <w:p>
      <w:pPr>
        <w:widowControl w:val="0"/>
        <w:spacing w:after="259" w:line="1" w:lineRule="exact"/>
      </w:pPr>
    </w:p>
    <w:p>
      <w:pPr>
        <w:widowControl w:val="0"/>
        <w:spacing w:line="1" w:lineRule="exact"/>
      </w:pPr>
    </w:p>
    <w:tbl>
      <w:tblPr>
        <w:tblOverlap w:val="never"/>
        <w:jc w:val="center"/>
        <w:tblLayout w:type="fixed"/>
      </w:tblPr>
      <w:tblGrid>
        <w:gridCol w:w="2501"/>
        <w:gridCol w:w="1478"/>
        <w:gridCol w:w="1037"/>
        <w:gridCol w:w="1296"/>
        <w:gridCol w:w="1042"/>
        <w:gridCol w:w="1483"/>
        <w:gridCol w:w="1382"/>
      </w:tblGrid>
      <w:tr>
        <w:trPr>
          <w:trHeight w:val="1094"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b/>
                <w:bCs/>
                <w:sz w:val="20"/>
                <w:szCs w:val="20"/>
              </w:rPr>
              <w:t>Наименование товара, работы, услуги</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160"/>
              <w:jc w:val="left"/>
              <w:rPr>
                <w:sz w:val="20"/>
                <w:szCs w:val="20"/>
              </w:rPr>
            </w:pPr>
            <w:r>
              <w:rPr>
                <w:rStyle w:val="CharStyle3"/>
                <w:b/>
                <w:bCs/>
                <w:sz w:val="20"/>
                <w:szCs w:val="20"/>
              </w:rPr>
              <w:t>Код позиции</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b/>
                <w:bCs/>
                <w:sz w:val="20"/>
                <w:szCs w:val="20"/>
              </w:rPr>
              <w:t>Тип позиции</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b/>
                <w:bCs/>
                <w:sz w:val="20"/>
                <w:szCs w:val="20"/>
              </w:rPr>
              <w:t>Единица измерения</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140" w:right="0" w:firstLine="20"/>
              <w:jc w:val="left"/>
              <w:rPr>
                <w:sz w:val="20"/>
                <w:szCs w:val="20"/>
              </w:rPr>
            </w:pPr>
            <w:r>
              <w:rPr>
                <w:rStyle w:val="CharStyle3"/>
                <w:b/>
                <w:bCs/>
                <w:sz w:val="20"/>
                <w:szCs w:val="20"/>
              </w:rPr>
              <w:t>Цена за единицу</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b/>
                <w:bCs/>
                <w:sz w:val="20"/>
                <w:szCs w:val="20"/>
              </w:rPr>
              <w:t>Количество (объем работы, услуги)</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b/>
                <w:bCs/>
                <w:sz w:val="20"/>
                <w:szCs w:val="20"/>
              </w:rPr>
              <w:t>Стоимость позиции</w:t>
            </w:r>
          </w:p>
        </w:tc>
      </w:tr>
      <w:tr>
        <w:trPr>
          <w:trHeight w:val="1330" w:hRule="exact"/>
        </w:trPr>
        <w:tc>
          <w:tcPr>
            <w:tcBorders>
              <w:top w:val="single" w:sz="4"/>
              <w:left w:val="single" w:sz="4"/>
              <w:bottom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 xml:space="preserve">Моющий/чистящий раствор ИВД, для автоматических/полуавтом атических систем Идентификатор: </w:t>
            </w:r>
            <w:r>
              <w:rPr>
                <w:rStyle w:val="CharStyle3"/>
                <w:sz w:val="20"/>
                <w:szCs w:val="20"/>
                <w:lang w:val="en-US" w:eastAsia="en-US"/>
              </w:rPr>
              <w:t>211354424</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lang w:val="en-US" w:eastAsia="en-US"/>
              </w:rPr>
              <w:t>21.20.23.110</w:t>
              <w:softHyphen/>
            </w:r>
          </w:p>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lang w:val="en-US" w:eastAsia="en-US"/>
              </w:rPr>
              <w:t>00005578</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Товар</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rPr>
              <w:t>Штука</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lang w:val="en-US" w:eastAsia="en-US"/>
              </w:rPr>
              <w:t>4995.00</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lang w:val="en-US" w:eastAsia="en-US"/>
              </w:rPr>
              <w:t>85</w:t>
            </w:r>
          </w:p>
        </w:tc>
        <w:tc>
          <w:tcPr>
            <w:tcBorders>
              <w:top w:val="single" w:sz="4"/>
              <w:left w:val="single" w:sz="4"/>
              <w:bottom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lang w:val="en-US" w:eastAsia="en-US"/>
              </w:rPr>
              <w:t>424575.00</w:t>
            </w:r>
          </w:p>
        </w:tc>
      </w:tr>
    </w:tbl>
    <w:p>
      <w:pPr>
        <w:widowControl w:val="0"/>
        <w:spacing w:after="259" w:line="1" w:lineRule="exact"/>
      </w:pPr>
    </w:p>
    <w:p>
      <w:pPr>
        <w:widowControl w:val="0"/>
        <w:spacing w:line="1" w:lineRule="exact"/>
      </w:pPr>
    </w:p>
    <w:tbl>
      <w:tblPr>
        <w:tblOverlap w:val="never"/>
        <w:jc w:val="center"/>
        <w:tblLayout w:type="fixed"/>
      </w:tblPr>
      <w:tblGrid>
        <w:gridCol w:w="1493"/>
        <w:gridCol w:w="2674"/>
        <w:gridCol w:w="1075"/>
        <w:gridCol w:w="2098"/>
        <w:gridCol w:w="2870"/>
      </w:tblGrid>
      <w:tr>
        <w:trPr>
          <w:trHeight w:val="634" w:hRule="exact"/>
        </w:trPr>
        <w:tc>
          <w:tcPr>
            <w:gridSpan w:val="5"/>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b/>
                <w:bCs/>
                <w:sz w:val="20"/>
                <w:szCs w:val="20"/>
              </w:rPr>
              <w:t xml:space="preserve">Характеристики товара, работы, услуги </w:t>
            </w:r>
            <w:r>
              <w:rPr>
                <w:rStyle w:val="CharStyle3"/>
                <w:b/>
                <w:bCs/>
                <w:sz w:val="20"/>
                <w:szCs w:val="20"/>
                <w:lang w:val="en-US" w:eastAsia="en-US"/>
              </w:rPr>
              <w:t xml:space="preserve">( </w:t>
            </w:r>
            <w:r>
              <w:rPr>
                <w:rStyle w:val="CharStyle3"/>
                <w:b/>
                <w:bCs/>
                <w:sz w:val="20"/>
                <w:szCs w:val="20"/>
              </w:rPr>
              <w:t xml:space="preserve">Моющий/чистящий раствор ИВД, для автоматических/полуавтоматических систем </w:t>
            </w:r>
            <w:r>
              <w:rPr>
                <w:rStyle w:val="CharStyle3"/>
                <w:b/>
                <w:bCs/>
                <w:sz w:val="20"/>
                <w:szCs w:val="20"/>
                <w:lang w:val="en-US" w:eastAsia="en-US"/>
              </w:rPr>
              <w:t>)</w:t>
            </w:r>
          </w:p>
        </w:tc>
      </w:tr>
      <w:tr>
        <w:trPr>
          <w:trHeight w:val="1320"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b/>
                <w:bCs/>
                <w:sz w:val="20"/>
                <w:szCs w:val="20"/>
              </w:rPr>
              <w:t>Наименование характеристи ки</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160"/>
              <w:jc w:val="left"/>
              <w:rPr>
                <w:sz w:val="20"/>
                <w:szCs w:val="20"/>
              </w:rPr>
            </w:pPr>
            <w:r>
              <w:rPr>
                <w:rStyle w:val="CharStyle3"/>
                <w:b/>
                <w:bCs/>
                <w:sz w:val="20"/>
                <w:szCs w:val="20"/>
              </w:rPr>
              <w:t>Значение характеристики</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b/>
                <w:bCs/>
                <w:sz w:val="20"/>
                <w:szCs w:val="20"/>
              </w:rPr>
              <w:t>Единица измерени я характер истики</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b/>
                <w:bCs/>
                <w:sz w:val="20"/>
                <w:szCs w:val="20"/>
              </w:rPr>
              <w:t>Инструкция по заполнению характеристики в заявке</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b/>
                <w:bCs/>
                <w:sz w:val="20"/>
                <w:szCs w:val="20"/>
              </w:rPr>
              <w:t>Обоснование включения дополнительной информации в сведения о товаре, работе, услуге</w:t>
            </w:r>
          </w:p>
        </w:tc>
      </w:tr>
      <w:tr>
        <w:trPr>
          <w:trHeight w:val="1502"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Объем реагента</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lang w:val="en-US" w:eastAsia="en-US"/>
              </w:rPr>
              <w:t>50</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rPr>
              <w:t xml:space="preserve">Кубически й сантиметр </w:t>
            </w:r>
            <w:r>
              <w:rPr>
                <w:rStyle w:val="CharStyle3"/>
                <w:sz w:val="20"/>
                <w:szCs w:val="20"/>
                <w:lang w:val="en-US" w:eastAsia="en-US"/>
              </w:rPr>
              <w:t xml:space="preserve">; </w:t>
            </w:r>
            <w:r>
              <w:rPr>
                <w:rStyle w:val="CharStyle3"/>
                <w:sz w:val="20"/>
                <w:szCs w:val="20"/>
              </w:rPr>
              <w:t xml:space="preserve">миллилит </w:t>
            </w:r>
            <w:r>
              <w:rPr>
                <w:rStyle w:val="CharStyle3"/>
                <w:sz w:val="20"/>
                <w:szCs w:val="20"/>
                <w:vertAlign w:val="superscript"/>
              </w:rPr>
              <w:t>р</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widowControl w:val="0"/>
              <w:rPr>
                <w:sz w:val="10"/>
                <w:szCs w:val="10"/>
              </w:rPr>
            </w:pPr>
          </w:p>
        </w:tc>
      </w:tr>
      <w:tr>
        <w:trPr>
          <w:trHeight w:val="1037"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Назначение</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 xml:space="preserve">Для анализаторов серий </w:t>
            </w:r>
            <w:r>
              <w:rPr>
                <w:rStyle w:val="CharStyle3"/>
                <w:sz w:val="20"/>
                <w:szCs w:val="20"/>
                <w:lang w:val="en-US" w:eastAsia="en-US"/>
              </w:rPr>
              <w:t>XN, XN-L, XS, XT, XE, XP-300, KX-21N</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widowControl w:val="0"/>
              <w:rPr>
                <w:sz w:val="10"/>
                <w:szCs w:val="10"/>
              </w:rPr>
            </w:pPr>
          </w:p>
        </w:tc>
      </w:tr>
      <w:tr>
        <w:trPr>
          <w:trHeight w:val="1733" w:hRule="exact"/>
        </w:trPr>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Применение</w:t>
            </w:r>
          </w:p>
        </w:tc>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моющее средство для технической очистки гидравлической системы в автоматических</w:t>
            </w:r>
          </w:p>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анализаторах</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rPr>
              <w:t>Значение характеристики не может изменяться участником закупки</w:t>
            </w:r>
          </w:p>
        </w:tc>
        <w:tc>
          <w:tcPr>
            <w:tcBorders>
              <w:top w:val="single" w:sz="4"/>
              <w:left w:val="single" w:sz="4"/>
              <w:bottom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rPr>
              <w:t>Применение: Для идентификации приобретаемого реагента и стабильной работы оборудования Стабильность после вскрытия: Минимальное необходимое время хранения</w:t>
            </w:r>
          </w:p>
        </w:tc>
      </w:tr>
    </w:tbl>
    <w:p>
      <w:pPr>
        <w:widowControl w:val="0"/>
        <w:spacing w:line="1" w:lineRule="exact"/>
      </w:pPr>
    </w:p>
    <w:tbl>
      <w:tblPr>
        <w:tblOverlap w:val="never"/>
        <w:jc w:val="center"/>
        <w:tblLayout w:type="fixed"/>
      </w:tblPr>
      <w:tblGrid>
        <w:gridCol w:w="1493"/>
        <w:gridCol w:w="2678"/>
        <w:gridCol w:w="1070"/>
        <w:gridCol w:w="2102"/>
        <w:gridCol w:w="2842"/>
      </w:tblGrid>
      <w:tr>
        <w:trPr>
          <w:trHeight w:val="581"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rPr>
              <w:t>определяется исходя из возможностей лаборатории.</w:t>
            </w:r>
          </w:p>
        </w:tc>
      </w:tr>
      <w:tr>
        <w:trPr>
          <w:trHeight w:val="2198" w:hRule="exact"/>
        </w:trPr>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Стабильность после вскрытия</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lang w:val="en-US" w:eastAsia="en-US"/>
              </w:rPr>
              <w:t>≥ 75</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rPr>
              <w:t>Сутки</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rPr>
              <w:t>Участник закупки указывает в заявке конкретное значение характеристики</w:t>
            </w:r>
          </w:p>
        </w:tc>
        <w:tc>
          <w:tcPr>
            <w:tcBorders>
              <w:top w:val="single" w:sz="4"/>
              <w:left w:val="single" w:sz="4"/>
              <w:bottom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rPr>
              <w:t>Применение: Для идентификации приобретаемого реагента и стабильной работы оборудования Стабильность после вскрытия: Минимальное необходимое время хранения определяется исходя из возможностей лаборатории.</w:t>
            </w:r>
          </w:p>
        </w:tc>
      </w:tr>
    </w:tbl>
    <w:p>
      <w:pPr>
        <w:pStyle w:val="Style12"/>
        <w:keepNext w:val="0"/>
        <w:keepLines w:val="0"/>
        <w:widowControl w:val="0"/>
        <w:shd w:val="clear" w:color="auto" w:fill="auto"/>
        <w:bidi w:val="0"/>
        <w:spacing w:before="0" w:after="0"/>
        <w:ind w:left="0" w:right="0" w:firstLine="720"/>
        <w:jc w:val="both"/>
      </w:pPr>
      <w:r>
        <w:rPr>
          <w:rStyle w:val="CharStyle13"/>
        </w:rPr>
        <w:t xml:space="preserve">Согласно части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2"/>
        <w:keepNext w:val="0"/>
        <w:keepLines w:val="0"/>
        <w:widowControl w:val="0"/>
        <w:shd w:val="clear" w:color="auto" w:fill="auto"/>
        <w:bidi w:val="0"/>
        <w:spacing w:before="0" w:after="0"/>
        <w:ind w:left="0" w:right="0" w:firstLine="720"/>
        <w:jc w:val="both"/>
      </w:pPr>
      <w:r>
        <w:rPr>
          <w:rStyle w:val="CharStyle13"/>
        </w:rPr>
        <w:t xml:space="preserve">Согласно пункту </w:t>
      </w:r>
      <w:r>
        <w:rPr>
          <w:rStyle w:val="CharStyle13"/>
          <w:lang w:val="en-US" w:eastAsia="en-US"/>
        </w:rPr>
        <w:t xml:space="preserve">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2"/>
        <w:keepNext w:val="0"/>
        <w:keepLines w:val="0"/>
        <w:widowControl w:val="0"/>
        <w:numPr>
          <w:ilvl w:val="0"/>
          <w:numId w:val="3"/>
        </w:numPr>
        <w:shd w:val="clear" w:color="auto" w:fill="auto"/>
        <w:tabs>
          <w:tab w:pos="1488" w:val="left"/>
        </w:tabs>
        <w:bidi w:val="0"/>
        <w:spacing w:before="0" w:after="0"/>
        <w:ind w:left="0" w:right="0" w:firstLine="720"/>
        <w:jc w:val="both"/>
      </w:pPr>
      <w:r>
        <w:rPr>
          <w:rStyle w:val="CharStyle13"/>
        </w:rPr>
        <w:t xml:space="preserve">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2"/>
        <w:keepNext w:val="0"/>
        <w:keepLines w:val="0"/>
        <w:widowControl w:val="0"/>
        <w:shd w:val="clear" w:color="auto" w:fill="auto"/>
        <w:bidi w:val="0"/>
        <w:spacing w:before="0" w:after="0"/>
        <w:ind w:left="0" w:right="0" w:firstLine="720"/>
        <w:jc w:val="both"/>
      </w:pPr>
      <w:r>
        <w:rPr>
          <w:rStyle w:val="CharStyle13"/>
        </w:rPr>
        <w:t xml:space="preserve">Согласно пункту </w:t>
      </w:r>
      <w:r>
        <w:rPr>
          <w:rStyle w:val="CharStyle13"/>
          <w:lang w:val="en-US" w:eastAsia="en-US"/>
        </w:rPr>
        <w:t xml:space="preserve">2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2"/>
        <w:keepNext w:val="0"/>
        <w:keepLines w:val="0"/>
        <w:widowControl w:val="0"/>
        <w:numPr>
          <w:ilvl w:val="0"/>
          <w:numId w:val="5"/>
        </w:numPr>
        <w:shd w:val="clear" w:color="auto" w:fill="auto"/>
        <w:tabs>
          <w:tab w:pos="1488" w:val="left"/>
        </w:tabs>
        <w:bidi w:val="0"/>
        <w:spacing w:before="0" w:after="0"/>
        <w:ind w:left="0" w:right="0" w:firstLine="720"/>
        <w:jc w:val="both"/>
      </w:pPr>
      <w:r>
        <w:rPr>
          <w:rStyle w:val="CharStyle13"/>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2"/>
        <w:keepNext w:val="0"/>
        <w:keepLines w:val="0"/>
        <w:widowControl w:val="0"/>
        <w:shd w:val="clear" w:color="auto" w:fill="auto"/>
        <w:bidi w:val="0"/>
        <w:spacing w:before="0" w:after="0"/>
        <w:ind w:left="0" w:right="0" w:firstLine="720"/>
        <w:jc w:val="both"/>
      </w:pPr>
      <w:r>
        <w:rPr>
          <w:rStyle w:val="CharStyle13"/>
        </w:rPr>
        <w:t xml:space="preserve">Согласно пункту </w:t>
      </w:r>
      <w:r>
        <w:rPr>
          <w:rStyle w:val="CharStyle13"/>
          <w:lang w:val="en-US" w:eastAsia="en-US"/>
        </w:rPr>
        <w:t xml:space="preserve">4 </w:t>
      </w:r>
      <w:r>
        <w:rPr>
          <w:rStyle w:val="CharStyle13"/>
        </w:rPr>
        <w:t xml:space="preserve">Постановления Правительства РФ от </w:t>
      </w:r>
      <w:r>
        <w:rPr>
          <w:rStyle w:val="CharStyle13"/>
          <w:lang w:val="en-US" w:eastAsia="en-US"/>
        </w:rPr>
        <w:t xml:space="preserve">08.02.2017 № 145 </w:t>
      </w:r>
      <w:r>
        <w:rPr>
          <w:rStyle w:val="CharStyle13"/>
        </w:rPr>
        <w:t xml:space="preserve">(ред. от </w:t>
      </w:r>
      <w:r>
        <w:rPr>
          <w:rStyle w:val="CharStyle13"/>
          <w:lang w:val="en-US" w:eastAsia="en-US"/>
        </w:rPr>
        <w:t xml:space="preserve">23.12.2024) </w:t>
      </w:r>
      <w:r>
        <w:rPr>
          <w:rStyle w:val="CharStyle13"/>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w:t>
      </w:r>
    </w:p>
    <w:p>
      <w:pPr>
        <w:pStyle w:val="Style12"/>
        <w:keepNext w:val="0"/>
        <w:keepLines w:val="0"/>
        <w:widowControl w:val="0"/>
        <w:shd w:val="clear" w:color="auto" w:fill="auto"/>
        <w:bidi w:val="0"/>
        <w:spacing w:before="0" w:after="0"/>
        <w:ind w:left="0" w:right="0" w:firstLine="0"/>
        <w:jc w:val="both"/>
      </w:pPr>
      <w:r>
        <w:rPr>
          <w:rStyle w:val="CharStyle13"/>
        </w:rPr>
        <w:t xml:space="preserve">муниципальных нужд» Заказчики обязаны применять информацию, включенную в позицию каталога в соответствии с подпунктами «а» </w:t>
      </w:r>
      <w:r>
        <w:rPr>
          <w:rStyle w:val="CharStyle13"/>
          <w:lang w:val="en-US" w:eastAsia="en-US"/>
        </w:rPr>
        <w:t xml:space="preserve">- </w:t>
      </w:r>
      <w:r>
        <w:rPr>
          <w:rStyle w:val="CharStyle13"/>
        </w:rPr>
        <w:t xml:space="preserve">«г» и «е» </w:t>
      </w:r>
      <w:r>
        <w:rPr>
          <w:rStyle w:val="CharStyle13"/>
          <w:lang w:val="en-US" w:eastAsia="en-US"/>
        </w:rPr>
        <w:t xml:space="preserve">- </w:t>
      </w:r>
      <w:r>
        <w:rPr>
          <w:rStyle w:val="CharStyle13"/>
        </w:rPr>
        <w:t xml:space="preserve">«з» пункта </w:t>
      </w:r>
      <w:r>
        <w:rPr>
          <w:rStyle w:val="CharStyle13"/>
          <w:lang w:val="en-US" w:eastAsia="en-US"/>
        </w:rPr>
        <w:t xml:space="preserve">10 </w:t>
      </w:r>
      <w:r>
        <w:rPr>
          <w:rStyle w:val="CharStyle13"/>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3"/>
          <w:lang w:val="en-US" w:eastAsia="en-US"/>
        </w:rPr>
        <w:t xml:space="preserve">8 </w:t>
      </w:r>
      <w:r>
        <w:rPr>
          <w:rStyle w:val="CharStyle13"/>
        </w:rPr>
        <w:t xml:space="preserve">февраля </w:t>
      </w:r>
      <w:r>
        <w:rPr>
          <w:rStyle w:val="CharStyle13"/>
          <w:lang w:val="en-US" w:eastAsia="en-US"/>
        </w:rPr>
        <w:t xml:space="preserve">2017 </w:t>
      </w:r>
      <w:r>
        <w:rPr>
          <w:rStyle w:val="CharStyle13"/>
        </w:rPr>
        <w:t xml:space="preserve">г. </w:t>
      </w:r>
      <w:r>
        <w:rPr>
          <w:rStyle w:val="CharStyle13"/>
          <w:lang w:val="en-US" w:eastAsia="en-US"/>
        </w:rPr>
        <w:t xml:space="preserve">№ 145 </w:t>
      </w:r>
      <w:r>
        <w:rPr>
          <w:rStyle w:val="CharStyle13"/>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2"/>
        <w:keepNext w:val="0"/>
        <w:keepLines w:val="0"/>
        <w:widowControl w:val="0"/>
        <w:numPr>
          <w:ilvl w:val="0"/>
          <w:numId w:val="7"/>
        </w:numPr>
        <w:shd w:val="clear" w:color="auto" w:fill="auto"/>
        <w:tabs>
          <w:tab w:pos="1077" w:val="left"/>
        </w:tabs>
        <w:bidi w:val="0"/>
        <w:spacing w:before="0" w:after="0"/>
        <w:ind w:left="0" w:right="0" w:firstLine="720"/>
        <w:jc w:val="both"/>
      </w:pPr>
      <w:r>
        <w:rPr>
          <w:rStyle w:val="CharStyle13"/>
        </w:rPr>
        <w:t>наименование товара, работы, услуги;</w:t>
      </w:r>
    </w:p>
    <w:p>
      <w:pPr>
        <w:pStyle w:val="Style12"/>
        <w:keepNext w:val="0"/>
        <w:keepLines w:val="0"/>
        <w:widowControl w:val="0"/>
        <w:numPr>
          <w:ilvl w:val="0"/>
          <w:numId w:val="7"/>
        </w:numPr>
        <w:shd w:val="clear" w:color="auto" w:fill="auto"/>
        <w:tabs>
          <w:tab w:pos="1082" w:val="left"/>
        </w:tabs>
        <w:bidi w:val="0"/>
        <w:spacing w:before="0" w:after="0"/>
        <w:ind w:left="0" w:right="0" w:firstLine="720"/>
        <w:jc w:val="both"/>
      </w:pPr>
      <w:r>
        <w:rPr>
          <w:rStyle w:val="CharStyle13"/>
        </w:rPr>
        <w:t>единицы измерения количества товара, объема выполняемой работы, оказываемой услуги (при наличии);</w:t>
      </w:r>
    </w:p>
    <w:p>
      <w:pPr>
        <w:pStyle w:val="Style12"/>
        <w:keepNext w:val="0"/>
        <w:keepLines w:val="0"/>
        <w:widowControl w:val="0"/>
        <w:numPr>
          <w:ilvl w:val="0"/>
          <w:numId w:val="7"/>
        </w:numPr>
        <w:shd w:val="clear" w:color="auto" w:fill="auto"/>
        <w:tabs>
          <w:tab w:pos="1087" w:val="left"/>
        </w:tabs>
        <w:bidi w:val="0"/>
        <w:spacing w:before="0" w:after="0"/>
        <w:ind w:left="0" w:right="0" w:firstLine="720"/>
        <w:jc w:val="left"/>
      </w:pPr>
      <w:r>
        <w:rPr>
          <w:rStyle w:val="CharStyle13"/>
        </w:rPr>
        <w:t>описание товара, работы, услуги (при наличии такого описания в позиции).</w:t>
      </w:r>
    </w:p>
    <w:p>
      <w:pPr>
        <w:pStyle w:val="Style12"/>
        <w:keepNext w:val="0"/>
        <w:keepLines w:val="0"/>
        <w:widowControl w:val="0"/>
        <w:shd w:val="clear" w:color="auto" w:fill="auto"/>
        <w:bidi w:val="0"/>
        <w:spacing w:before="0" w:after="0"/>
        <w:ind w:left="0" w:right="0" w:firstLine="720"/>
        <w:jc w:val="left"/>
      </w:pPr>
      <w:r>
        <w:rPr>
          <w:rStyle w:val="CharStyle13"/>
        </w:rPr>
        <w:t xml:space="preserve">Согласно извещению по </w:t>
      </w:r>
      <w:r>
        <w:rPr>
          <w:rStyle w:val="CharStyle13"/>
          <w:lang w:val="en-US" w:eastAsia="en-US"/>
        </w:rPr>
        <w:t xml:space="preserve">1 </w:t>
      </w:r>
      <w:r>
        <w:rPr>
          <w:rStyle w:val="CharStyle13"/>
        </w:rPr>
        <w:t>позиции Заказчиком установлен следующий Код позиции:</w:t>
      </w:r>
    </w:p>
    <w:tbl>
      <w:tblPr>
        <w:tblOverlap w:val="never"/>
        <w:jc w:val="center"/>
        <w:tblLayout w:type="fixed"/>
      </w:tblPr>
      <w:tblGrid>
        <w:gridCol w:w="1675"/>
        <w:gridCol w:w="8525"/>
      </w:tblGrid>
      <w:tr>
        <w:trPr>
          <w:trHeight w:val="288"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КОД ПОЗИЦИИ</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rPr>
              <w:t>НАИМЕНОВАНИЕ ТОВАРА, РАБОТЫ, УСЛУГИ</w:t>
            </w:r>
          </w:p>
        </w:tc>
      </w:tr>
      <w:tr>
        <w:trPr>
          <w:trHeight w:val="1790" w:hRule="exact"/>
        </w:trPr>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lang w:val="en-US" w:eastAsia="en-US"/>
              </w:rPr>
              <w:t>21.20.23.110</w:t>
            </w:r>
          </w:p>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lang w:val="en-US" w:eastAsia="en-US"/>
              </w:rPr>
              <w:t>21.20.23.110</w:t>
              <w:softHyphen/>
              <w:t>00011121</w:t>
            </w:r>
          </w:p>
        </w:tc>
        <w:tc>
          <w:tcPr>
            <w:tcBorders>
              <w:top w:val="single" w:sz="4"/>
              <w:left w:val="single" w:sz="4"/>
              <w:bottom w:val="single" w:sz="4"/>
              <w:right w:val="single" w:sz="4"/>
            </w:tcBorders>
            <w:shd w:val="clear" w:color="auto" w:fill="auto"/>
            <w:vAlign w:val="bottom"/>
          </w:tcPr>
          <w:p>
            <w:pPr>
              <w:pStyle w:val="Style2"/>
              <w:keepNext w:val="0"/>
              <w:keepLines w:val="0"/>
              <w:widowControl w:val="0"/>
              <w:shd w:val="clear" w:color="auto" w:fill="auto"/>
              <w:bidi w:val="0"/>
              <w:spacing w:before="0" w:after="0" w:line="314" w:lineRule="auto"/>
              <w:ind w:left="0" w:right="0" w:firstLine="0"/>
              <w:jc w:val="left"/>
              <w:rPr>
                <w:sz w:val="20"/>
                <w:szCs w:val="20"/>
              </w:rPr>
            </w:pPr>
            <w:r>
              <w:rPr>
                <w:rStyle w:val="CharStyle3"/>
                <w:sz w:val="20"/>
                <w:szCs w:val="20"/>
              </w:rPr>
              <w:t>Реагент для лизиса клеток крови ИВД</w:t>
            </w:r>
          </w:p>
          <w:p>
            <w:pPr>
              <w:pStyle w:val="Style2"/>
              <w:keepNext w:val="0"/>
              <w:keepLines w:val="0"/>
              <w:widowControl w:val="0"/>
              <w:shd w:val="clear" w:color="auto" w:fill="auto"/>
              <w:bidi w:val="0"/>
              <w:spacing w:before="0" w:after="0" w:line="314" w:lineRule="auto"/>
              <w:ind w:left="0" w:right="0" w:firstLine="0"/>
              <w:jc w:val="left"/>
              <w:rPr>
                <w:sz w:val="20"/>
                <w:szCs w:val="20"/>
              </w:rPr>
            </w:pPr>
            <w:r>
              <w:rPr>
                <w:rStyle w:val="CharStyle3"/>
                <w:b/>
                <w:bCs/>
                <w:sz w:val="20"/>
                <w:szCs w:val="20"/>
              </w:rPr>
              <w:t xml:space="preserve">Применение </w:t>
            </w:r>
            <w:r>
              <w:rPr>
                <w:rStyle w:val="CharStyle3"/>
                <w:sz w:val="20"/>
                <w:szCs w:val="20"/>
              </w:rPr>
              <w:t xml:space="preserve">Измерение концентрации гемоглобина основано на методе лаурилсульфата натрия, где лаурилсульфат натрия </w:t>
            </w:r>
            <w:r>
              <w:rPr>
                <w:rStyle w:val="CharStyle3"/>
                <w:sz w:val="20"/>
                <w:szCs w:val="20"/>
                <w:lang w:val="en-US" w:eastAsia="en-US"/>
              </w:rPr>
              <w:t xml:space="preserve">(SLS) </w:t>
            </w:r>
            <w:r>
              <w:rPr>
                <w:rStyle w:val="CharStyle3"/>
                <w:sz w:val="20"/>
                <w:szCs w:val="20"/>
              </w:rPr>
              <w:t xml:space="preserve">лизирует мембраны эритроцитов и высвобождает гемоглобин. Реагент присоединяется к высвобожденному гемоглобину и формирует стабильный гемихром </w:t>
            </w:r>
            <w:r>
              <w:rPr>
                <w:rStyle w:val="CharStyle3"/>
                <w:b/>
                <w:bCs/>
                <w:sz w:val="20"/>
                <w:szCs w:val="20"/>
              </w:rPr>
              <w:t xml:space="preserve">Срок годности после вскрытия </w:t>
            </w:r>
            <w:r>
              <w:rPr>
                <w:rStyle w:val="CharStyle3"/>
                <w:sz w:val="20"/>
                <w:szCs w:val="20"/>
                <w:lang w:val="en-US" w:eastAsia="en-US"/>
              </w:rPr>
              <w:t xml:space="preserve">≥ 60 </w:t>
            </w:r>
            <w:r>
              <w:rPr>
                <w:rStyle w:val="CharStyle3"/>
                <w:sz w:val="20"/>
                <w:szCs w:val="20"/>
              </w:rPr>
              <w:t>СУТ; ДН</w:t>
            </w:r>
          </w:p>
          <w:p>
            <w:pPr>
              <w:pStyle w:val="Style2"/>
              <w:keepNext w:val="0"/>
              <w:keepLines w:val="0"/>
              <w:widowControl w:val="0"/>
              <w:shd w:val="clear" w:color="auto" w:fill="auto"/>
              <w:bidi w:val="0"/>
              <w:spacing w:before="0" w:after="0" w:line="314" w:lineRule="auto"/>
              <w:ind w:left="0" w:right="0" w:firstLine="0"/>
              <w:jc w:val="left"/>
              <w:rPr>
                <w:sz w:val="20"/>
                <w:szCs w:val="20"/>
              </w:rPr>
            </w:pPr>
            <w:r>
              <w:rPr>
                <w:rStyle w:val="CharStyle3"/>
                <w:b/>
                <w:bCs/>
                <w:sz w:val="20"/>
                <w:szCs w:val="20"/>
              </w:rPr>
              <w:t xml:space="preserve">Назначение </w:t>
            </w:r>
            <w:r>
              <w:rPr>
                <w:rStyle w:val="CharStyle3"/>
                <w:sz w:val="20"/>
                <w:szCs w:val="20"/>
              </w:rPr>
              <w:t xml:space="preserve">Для анализаторов серий </w:t>
            </w:r>
            <w:r>
              <w:rPr>
                <w:rStyle w:val="CharStyle3"/>
                <w:sz w:val="20"/>
                <w:szCs w:val="20"/>
                <w:lang w:val="en-US" w:eastAsia="en-US"/>
              </w:rPr>
              <w:t>XN, XN-L, XT, XS, XP</w:t>
            </w:r>
          </w:p>
        </w:tc>
      </w:tr>
    </w:tbl>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Позиция КТРУ </w:t>
      </w:r>
      <w:r>
        <w:rPr>
          <w:rStyle w:val="CharStyle13"/>
          <w:lang w:val="en-US" w:eastAsia="en-US"/>
        </w:rPr>
        <w:t xml:space="preserve">21.20.23.110-00011121 </w:t>
      </w:r>
      <w:r>
        <w:rPr>
          <w:rStyle w:val="CharStyle13"/>
        </w:rPr>
        <w:t>«Реагент для лизиса клеток крови ИВД» содержит обязательные для применения характеристики, а именно:</w:t>
      </w:r>
    </w:p>
    <w:tbl>
      <w:tblPr>
        <w:tblOverlap w:val="never"/>
        <w:jc w:val="center"/>
        <w:tblLayout w:type="fixed"/>
      </w:tblPr>
      <w:tblGrid>
        <w:gridCol w:w="4018"/>
        <w:gridCol w:w="6192"/>
      </w:tblGrid>
      <w:tr>
        <w:trPr>
          <w:trHeight w:val="293"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20"/>
              <w:jc w:val="left"/>
              <w:rPr>
                <w:sz w:val="20"/>
                <w:szCs w:val="20"/>
              </w:rPr>
            </w:pPr>
            <w:r>
              <w:rPr>
                <w:rStyle w:val="CharStyle3"/>
                <w:sz w:val="20"/>
                <w:szCs w:val="20"/>
              </w:rPr>
              <w:t>НАИМЕНОВАНИЕ ХАРАКТЕРИСТИКИ</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rPr>
              <w:t>ЗНАЧЕНИЕ ХАРАКТЕРИСТИКИ</w:t>
            </w:r>
          </w:p>
        </w:tc>
      </w:tr>
      <w:tr>
        <w:trPr>
          <w:trHeight w:val="518" w:hRule="exact"/>
        </w:trPr>
        <w:tc>
          <w:tcPr>
            <w:vMerge w:val="restart"/>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Назначение</w:t>
            </w:r>
          </w:p>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(характеристика является обязательной для применения)</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color w:val="334059"/>
                <w:sz w:val="20"/>
                <w:szCs w:val="20"/>
              </w:rPr>
              <w:t xml:space="preserve">Для анализаторов АсТ </w:t>
            </w:r>
            <w:r>
              <w:rPr>
                <w:rStyle w:val="CharStyle3"/>
                <w:color w:val="334059"/>
                <w:sz w:val="20"/>
                <w:szCs w:val="20"/>
                <w:lang w:val="en-US" w:eastAsia="en-US"/>
              </w:rPr>
              <w:t>diff 2, UniCel DxH 500, UniCel DxH 600, UniCel DxH 800</w:t>
            </w:r>
          </w:p>
        </w:tc>
      </w:tr>
      <w:tr>
        <w:trPr>
          <w:trHeight w:val="518"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 xml:space="preserve">Для анализаторов </w:t>
            </w:r>
            <w:r>
              <w:rPr>
                <w:rStyle w:val="CharStyle3"/>
                <w:sz w:val="20"/>
                <w:szCs w:val="20"/>
                <w:lang w:val="en-US" w:eastAsia="en-US"/>
              </w:rPr>
              <w:t>PENTRA 60, PENTRA 80</w:t>
            </w:r>
          </w:p>
        </w:tc>
      </w:tr>
      <w:tr>
        <w:trPr>
          <w:trHeight w:val="288"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 xml:space="preserve">Для анализаторов </w:t>
            </w:r>
            <w:r>
              <w:rPr>
                <w:rStyle w:val="CharStyle3"/>
                <w:sz w:val="20"/>
                <w:szCs w:val="20"/>
                <w:lang w:val="en-US" w:eastAsia="en-US"/>
              </w:rPr>
              <w:t>MEK-7300K, MEK-8222K, MEK-9100</w:t>
            </w:r>
          </w:p>
        </w:tc>
      </w:tr>
      <w:tr>
        <w:trPr>
          <w:trHeight w:val="749"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 xml:space="preserve">Для анализаторов </w:t>
            </w:r>
            <w:r>
              <w:rPr>
                <w:rStyle w:val="CharStyle3"/>
                <w:sz w:val="20"/>
                <w:szCs w:val="20"/>
                <w:lang w:val="en-US" w:eastAsia="en-US"/>
              </w:rPr>
              <w:t xml:space="preserve">XN-2000 [WPC], XN-9000 IV WB [WPC/PLT-F], XN- 1000 [RET/PLT-F] SA-10, XN-550, XT-4000i, XS-500i, XS 1000i, </w:t>
            </w:r>
            <w:r>
              <w:rPr>
                <w:rStyle w:val="CharStyle3"/>
                <w:sz w:val="20"/>
                <w:szCs w:val="20"/>
              </w:rPr>
              <w:t xml:space="preserve">ХЕ- </w:t>
            </w:r>
            <w:r>
              <w:rPr>
                <w:rStyle w:val="CharStyle3"/>
                <w:sz w:val="20"/>
                <w:szCs w:val="20"/>
                <w:lang w:val="en-US" w:eastAsia="en-US"/>
              </w:rPr>
              <w:t xml:space="preserve">5000, </w:t>
            </w:r>
            <w:r>
              <w:rPr>
                <w:rStyle w:val="CharStyle3"/>
                <w:sz w:val="20"/>
                <w:szCs w:val="20"/>
              </w:rPr>
              <w:t>ХЕ-2100</w:t>
            </w:r>
          </w:p>
        </w:tc>
      </w:tr>
      <w:tr>
        <w:trPr>
          <w:trHeight w:val="518"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lang w:val="en-US" w:eastAsia="en-US"/>
              </w:rPr>
              <w:t>DH36X, DH33X, DH31X, D7-CRP, D2-CRP, DF50CRP, DF52CRP, DF53CRP, DM79X, DH-800[T6]CS, DH-800[T7]CS, DH-800[T8]CS</w:t>
            </w:r>
          </w:p>
        </w:tc>
      </w:tr>
      <w:tr>
        <w:trPr>
          <w:trHeight w:val="288"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 xml:space="preserve">Для анализаторов серии </w:t>
            </w:r>
            <w:r>
              <w:rPr>
                <w:rStyle w:val="CharStyle3"/>
                <w:sz w:val="20"/>
                <w:szCs w:val="20"/>
                <w:lang w:val="en-US" w:eastAsia="en-US"/>
              </w:rPr>
              <w:t>XN, XN-L</w:t>
            </w:r>
          </w:p>
        </w:tc>
      </w:tr>
      <w:tr>
        <w:trPr>
          <w:trHeight w:val="288"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 xml:space="preserve">Для анализаторов </w:t>
            </w:r>
            <w:r>
              <w:rPr>
                <w:rStyle w:val="CharStyle3"/>
                <w:sz w:val="20"/>
                <w:szCs w:val="20"/>
                <w:lang w:val="en-US" w:eastAsia="en-US"/>
              </w:rPr>
              <w:t>XT-4000i, XE-5000, XE-2100</w:t>
            </w:r>
          </w:p>
        </w:tc>
      </w:tr>
      <w:tr>
        <w:trPr>
          <w:trHeight w:val="288"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 xml:space="preserve">Для анализатора </w:t>
            </w:r>
            <w:r>
              <w:rPr>
                <w:rStyle w:val="CharStyle3"/>
                <w:sz w:val="20"/>
                <w:szCs w:val="20"/>
                <w:lang w:val="en-US" w:eastAsia="en-US"/>
              </w:rPr>
              <w:t>CELL-DYN Ruby</w:t>
            </w:r>
          </w:p>
        </w:tc>
      </w:tr>
      <w:tr>
        <w:trPr>
          <w:trHeight w:val="288"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 xml:space="preserve">Для системы клеточного анализа </w:t>
            </w:r>
            <w:r>
              <w:rPr>
                <w:rStyle w:val="CharStyle3"/>
                <w:sz w:val="20"/>
                <w:szCs w:val="20"/>
                <w:lang w:val="en-US" w:eastAsia="en-US"/>
              </w:rPr>
              <w:t>UniCel DxH 800 Coulter</w:t>
            </w:r>
          </w:p>
        </w:tc>
      </w:tr>
      <w:tr>
        <w:trPr>
          <w:trHeight w:val="288"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Для анализаторов серии ЭЛИТЕ</w:t>
            </w:r>
          </w:p>
        </w:tc>
      </w:tr>
      <w:tr>
        <w:trPr>
          <w:trHeight w:val="288"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 xml:space="preserve">Для анализаторов серий </w:t>
            </w:r>
            <w:r>
              <w:rPr>
                <w:rStyle w:val="CharStyle3"/>
                <w:sz w:val="20"/>
                <w:szCs w:val="20"/>
                <w:lang w:val="en-US" w:eastAsia="en-US"/>
              </w:rPr>
              <w:t>XN, XN-L, XT, XS, XP</w:t>
            </w:r>
          </w:p>
        </w:tc>
      </w:tr>
      <w:tr>
        <w:trPr>
          <w:trHeight w:val="288"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 xml:space="preserve">Для анализаторов серий </w:t>
            </w:r>
            <w:r>
              <w:rPr>
                <w:rStyle w:val="CharStyle3"/>
                <w:sz w:val="20"/>
                <w:szCs w:val="20"/>
                <w:lang w:val="en-US" w:eastAsia="en-US"/>
              </w:rPr>
              <w:t xml:space="preserve">Swelab Alfa </w:t>
            </w:r>
            <w:r>
              <w:rPr>
                <w:rStyle w:val="CharStyle3"/>
                <w:sz w:val="20"/>
                <w:szCs w:val="20"/>
              </w:rPr>
              <w:t xml:space="preserve">и </w:t>
            </w:r>
            <w:r>
              <w:rPr>
                <w:rStyle w:val="CharStyle3"/>
                <w:sz w:val="20"/>
                <w:szCs w:val="20"/>
                <w:lang w:val="en-US" w:eastAsia="en-US"/>
              </w:rPr>
              <w:t>Swelab Alfa Plus</w:t>
            </w:r>
          </w:p>
        </w:tc>
      </w:tr>
      <w:tr>
        <w:trPr>
          <w:trHeight w:val="288"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Для анализаторов открытого типа</w:t>
            </w:r>
          </w:p>
        </w:tc>
      </w:tr>
      <w:tr>
        <w:trPr>
          <w:trHeight w:val="288"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 xml:space="preserve">Для анализаторов серии </w:t>
            </w:r>
            <w:r>
              <w:rPr>
                <w:rStyle w:val="CharStyle3"/>
                <w:sz w:val="20"/>
                <w:szCs w:val="20"/>
                <w:lang w:val="en-US" w:eastAsia="en-US"/>
              </w:rPr>
              <w:t>CELL-DYNN</w:t>
            </w:r>
          </w:p>
        </w:tc>
      </w:tr>
      <w:tr>
        <w:trPr>
          <w:trHeight w:val="293" w:hRule="exact"/>
        </w:trPr>
        <w:tc>
          <w:tcPr>
            <w:vMerge/>
            <w:tcBorders>
              <w:left w:val="single" w:sz="4"/>
              <w:bottom w:val="single" w:sz="4"/>
            </w:tcBorders>
            <w:shd w:val="clear" w:color="auto" w:fill="auto"/>
            <w:vAlign w:val="center"/>
          </w:tcPr>
          <w:p>
            <w:pPr/>
          </w:p>
        </w:tc>
        <w:tc>
          <w:tcPr>
            <w:tcBorders>
              <w:top w:val="single" w:sz="4"/>
              <w:left w:val="single" w:sz="4"/>
              <w:bottom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 xml:space="preserve">Для анализаторов серии </w:t>
            </w:r>
            <w:r>
              <w:rPr>
                <w:rStyle w:val="CharStyle3"/>
                <w:sz w:val="20"/>
                <w:szCs w:val="20"/>
                <w:lang w:val="en-US" w:eastAsia="en-US"/>
              </w:rPr>
              <w:t>DIRUI</w:t>
            </w:r>
          </w:p>
        </w:tc>
      </w:tr>
    </w:tbl>
    <w:p>
      <w:pPr>
        <w:pStyle w:val="Style12"/>
        <w:keepNext w:val="0"/>
        <w:keepLines w:val="0"/>
        <w:widowControl w:val="0"/>
        <w:shd w:val="clear" w:color="auto" w:fill="auto"/>
        <w:bidi w:val="0"/>
        <w:spacing w:before="0" w:after="0" w:line="240" w:lineRule="auto"/>
        <w:ind w:left="0" w:right="0" w:firstLine="720"/>
        <w:jc w:val="both"/>
      </w:pPr>
      <w:r>
        <w:rPr>
          <w:rStyle w:val="CharStyle13"/>
        </w:rPr>
        <w:t>Данная характеристика была применена при описании объекта закупки Заказчиком, и в извещении указано следующее:</w:t>
      </w:r>
    </w:p>
    <w:tbl>
      <w:tblPr>
        <w:tblOverlap w:val="never"/>
        <w:jc w:val="center"/>
        <w:tblLayout w:type="fixed"/>
      </w:tblPr>
      <w:tblGrid>
        <w:gridCol w:w="2074"/>
        <w:gridCol w:w="3955"/>
        <w:gridCol w:w="4181"/>
      </w:tblGrid>
      <w:tr>
        <w:trPr>
          <w:trHeight w:val="336" w:hRule="exact"/>
        </w:trPr>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Назначение</w:t>
            </w:r>
          </w:p>
        </w:tc>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u w:val="single"/>
              </w:rPr>
              <w:t xml:space="preserve">Для анализаторов серий </w:t>
            </w:r>
            <w:r>
              <w:rPr>
                <w:rStyle w:val="CharStyle3"/>
                <w:sz w:val="20"/>
                <w:szCs w:val="20"/>
                <w:u w:val="single"/>
                <w:lang w:val="en-US" w:eastAsia="en-US"/>
              </w:rPr>
              <w:t>XN, XN-L, XT,</w:t>
            </w:r>
          </w:p>
        </w:tc>
        <w:tc>
          <w:tcPr>
            <w:tcBorders>
              <w:top w:val="single" w:sz="4"/>
              <w:left w:val="single" w:sz="4"/>
              <w:bottom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rPr>
              <w:t>Значение характеристики не может изменяться</w:t>
            </w:r>
          </w:p>
        </w:tc>
      </w:tr>
    </w:tbl>
    <w:p>
      <w:pPr>
        <w:pStyle w:val="Style5"/>
        <w:keepNext w:val="0"/>
        <w:keepLines w:val="0"/>
        <w:widowControl w:val="0"/>
        <w:shd w:val="clear" w:color="auto" w:fill="auto"/>
        <w:bidi w:val="0"/>
        <w:spacing w:before="0" w:after="380" w:line="240" w:lineRule="auto"/>
        <w:ind w:left="0" w:right="1260" w:firstLine="0"/>
        <w:jc w:val="right"/>
      </w:pPr>
      <w:r>
        <mc:AlternateContent>
          <mc:Choice Requires="wps">
            <w:drawing>
              <wp:anchor distT="0" distB="0" distL="114300" distR="114300" simplePos="0" relativeHeight="125829381" behindDoc="0" locked="0" layoutInCell="1" allowOverlap="1">
                <wp:simplePos x="0" y="0"/>
                <wp:positionH relativeFrom="page">
                  <wp:posOffset>2061845</wp:posOffset>
                </wp:positionH>
                <wp:positionV relativeFrom="paragraph">
                  <wp:posOffset>12700</wp:posOffset>
                </wp:positionV>
                <wp:extent cx="475615" cy="191770"/>
                <wp:wrapSquare wrapText="right"/>
                <wp:docPr id="5" name="Shape 5"/>
                <a:graphic xmlns:a="http://schemas.openxmlformats.org/drawingml/2006/main">
                  <a:graphicData uri="http://schemas.microsoft.com/office/word/2010/wordprocessingShape">
                    <wps:wsp>
                      <wps:cNvSpPr txBox="1"/>
                      <wps:spPr>
                        <a:xfrm>
                          <a:ext cx="475615" cy="1917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Style w:val="CharStyle6"/>
                                <w:color w:val="000000"/>
                                <w:u w:val="single"/>
                                <w:lang w:val="en-US" w:eastAsia="en-US"/>
                              </w:rPr>
                              <w:t>XS, XP</w:t>
                            </w:r>
                          </w:p>
                        </w:txbxContent>
                      </wps:txbx>
                      <wps:bodyPr wrap="none" lIns="0" tIns="0" rIns="0" bIns="0">
                        <a:noAutoFit/>
                      </wps:bodyPr>
                    </wps:wsp>
                  </a:graphicData>
                </a:graphic>
              </wp:anchor>
            </w:drawing>
          </mc:Choice>
          <mc:Fallback>
            <w:pict>
              <v:shape id="_x0000_s1031" type="#_x0000_t202" style="position:absolute;margin-left:162.34999999999999pt;margin-top:1.pt;width:37.450000000000003pt;height:15.1pt;z-index:-125829372;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Style w:val="CharStyle6"/>
                          <w:color w:val="000000"/>
                          <w:u w:val="single"/>
                          <w:lang w:val="en-US" w:eastAsia="en-US"/>
                        </w:rPr>
                        <w:t>XS, XP</w:t>
                      </w:r>
                    </w:p>
                  </w:txbxContent>
                </v:textbox>
                <w10:wrap type="square" side="right" anchorx="page"/>
              </v:shape>
            </w:pict>
          </mc:Fallback>
        </mc:AlternateContent>
      </w:r>
      <w:r>
        <w:rPr>
          <w:rStyle w:val="CharStyle6"/>
          <w:color w:val="000000"/>
        </w:rPr>
        <w:t>участником закупки</w:t>
      </w:r>
    </w:p>
    <w:p>
      <w:pPr>
        <w:pStyle w:val="Style12"/>
        <w:keepNext w:val="0"/>
        <w:keepLines w:val="0"/>
        <w:widowControl w:val="0"/>
        <w:shd w:val="clear" w:color="auto" w:fill="auto"/>
        <w:bidi w:val="0"/>
        <w:spacing w:before="0" w:after="0"/>
        <w:ind w:left="0" w:right="0" w:firstLine="740"/>
        <w:jc w:val="both"/>
      </w:pPr>
      <w:r>
        <w:rPr>
          <w:rStyle w:val="CharStyle13"/>
        </w:rPr>
        <w:t xml:space="preserve">Согласно подпункту «д» пункта </w:t>
      </w:r>
      <w:r>
        <w:rPr>
          <w:rStyle w:val="CharStyle13"/>
          <w:lang w:val="en-US" w:eastAsia="en-US"/>
        </w:rPr>
        <w:t xml:space="preserve">4 </w:t>
      </w:r>
      <w:r>
        <w:rPr>
          <w:rStyle w:val="CharStyle13"/>
        </w:rPr>
        <w:t xml:space="preserve">Постановления Правительства РФ от </w:t>
      </w:r>
      <w:r>
        <w:rPr>
          <w:rStyle w:val="CharStyle13"/>
          <w:lang w:val="en-US" w:eastAsia="en-US"/>
        </w:rPr>
        <w:t xml:space="preserve">23.12.2024 № 1875 </w:t>
      </w:r>
      <w:r>
        <w:rPr>
          <w:rStyle w:val="CharStyle13"/>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3"/>
          <w:lang w:val="en-US" w:eastAsia="en-US"/>
        </w:rPr>
        <w:t xml:space="preserve">— </w:t>
      </w:r>
      <w:r>
        <w:rPr>
          <w:rStyle w:val="CharStyle13"/>
        </w:rPr>
        <w:t xml:space="preserve">ПП РФ </w:t>
      </w:r>
      <w:r>
        <w:rPr>
          <w:rStyle w:val="CharStyle13"/>
          <w:lang w:val="en-US" w:eastAsia="en-US"/>
        </w:rPr>
        <w:t xml:space="preserve">№1875) </w:t>
      </w:r>
      <w:r>
        <w:rPr>
          <w:rStyle w:val="CharStyle13"/>
        </w:rPr>
        <w:t xml:space="preserve">позиции приложения </w:t>
      </w:r>
      <w:r>
        <w:rPr>
          <w:rStyle w:val="CharStyle13"/>
          <w:lang w:val="en-US" w:eastAsia="en-US"/>
        </w:rPr>
        <w:t xml:space="preserve">№ 2 </w:t>
      </w:r>
      <w:r>
        <w:rPr>
          <w:rStyle w:val="CharStyle13"/>
        </w:rPr>
        <w:t>к на</w:t>
        <w:softHyphen/>
        <w:t>стоящему постановлению применяются, если в объект закупки включены товары, наименования которых указаны в графе «Наименование товара, работы, услуги» и которые включены в код, ука</w:t>
        <w:softHyphen/>
        <w:t xml:space="preserve">занный в графе «Код товара, работы, услуги по Общероссийскому классификатору продукции по видам экономической деятельности ОК </w:t>
      </w:r>
      <w:r>
        <w:rPr>
          <w:rStyle w:val="CharStyle13"/>
          <w:lang w:val="en-US" w:eastAsia="en-US"/>
        </w:rPr>
        <w:t xml:space="preserve">034-2014 </w:t>
      </w:r>
      <w:r>
        <w:rPr>
          <w:rStyle w:val="CharStyle13"/>
        </w:rPr>
        <w:t xml:space="preserve">(КПЕС </w:t>
      </w:r>
      <w:r>
        <w:rPr>
          <w:rStyle w:val="CharStyle13"/>
          <w:lang w:val="en-US" w:eastAsia="en-US"/>
        </w:rPr>
        <w:t xml:space="preserve">2008)». </w:t>
      </w:r>
      <w:r>
        <w:rPr>
          <w:rStyle w:val="CharStyle13"/>
        </w:rPr>
        <w:t>При этом если в объект закупки включено медицинское изделие, соответствующая позиция применяется, если закупаемое меди</w:t>
        <w:softHyphen/>
        <w:t>цинское изделие также относится к указанному в графе «Наименование товара, работы, услуги» или графе «Наименование товара» коду вида медицинского изделия в соответствии с номенклатур</w:t>
        <w:softHyphen/>
        <w:t>ной классификацией медицинских изделий, утвержденной Министерством здравоохранения Рос</w:t>
        <w:softHyphen/>
        <w:t>сийской Федерации.</w:t>
      </w:r>
    </w:p>
    <w:p>
      <w:pPr>
        <w:pStyle w:val="Style12"/>
        <w:keepNext w:val="0"/>
        <w:keepLines w:val="0"/>
        <w:widowControl w:val="0"/>
        <w:shd w:val="clear" w:color="auto" w:fill="auto"/>
        <w:bidi w:val="0"/>
        <w:spacing w:before="0" w:after="0"/>
        <w:ind w:left="0" w:right="0" w:firstLine="740"/>
        <w:jc w:val="both"/>
      </w:pPr>
      <w:r>
        <w:rPr>
          <w:rStyle w:val="CharStyle13"/>
        </w:rPr>
        <w:t xml:space="preserve">Таким образом, в отношении позиции </w:t>
      </w:r>
      <w:r>
        <w:rPr>
          <w:rStyle w:val="CharStyle13"/>
          <w:lang w:val="en-US" w:eastAsia="en-US"/>
        </w:rPr>
        <w:t xml:space="preserve">1 </w:t>
      </w:r>
      <w:r>
        <w:rPr>
          <w:rStyle w:val="CharStyle13"/>
        </w:rPr>
        <w:t>товара Заказчиком установлено ограничение заку</w:t>
        <w:softHyphen/>
        <w:t xml:space="preserve">пок товаров, происходящих из иностранных государств, по перечню согласно приложению </w:t>
      </w:r>
      <w:r>
        <w:rPr>
          <w:rStyle w:val="CharStyle13"/>
          <w:lang w:val="en-US" w:eastAsia="en-US"/>
        </w:rPr>
        <w:t xml:space="preserve">№ 2: </w:t>
      </w:r>
      <w:r>
        <w:rPr>
          <w:rStyle w:val="CharStyle13"/>
        </w:rPr>
        <w:t xml:space="preserve">п. </w:t>
      </w:r>
      <w:r>
        <w:rPr>
          <w:rStyle w:val="CharStyle13"/>
          <w:lang w:val="en-US" w:eastAsia="en-US"/>
        </w:rPr>
        <w:t xml:space="preserve">367. </w:t>
      </w:r>
      <w:r>
        <w:rPr>
          <w:rStyle w:val="CharStyle13"/>
        </w:rPr>
        <w:t xml:space="preserve">Наборы (комплекты) реагентов для гематологиских анализаторов ОКПД2 </w:t>
      </w:r>
      <w:r>
        <w:rPr>
          <w:rStyle w:val="CharStyle13"/>
          <w:lang w:val="en-US" w:eastAsia="en-US"/>
        </w:rPr>
        <w:t>21.20.23.110.</w:t>
      </w:r>
    </w:p>
    <w:p>
      <w:pPr>
        <w:pStyle w:val="Style12"/>
        <w:keepNext w:val="0"/>
        <w:keepLines w:val="0"/>
        <w:widowControl w:val="0"/>
        <w:shd w:val="clear" w:color="auto" w:fill="auto"/>
        <w:bidi w:val="0"/>
        <w:spacing w:before="0" w:after="0"/>
        <w:ind w:left="0" w:right="0" w:firstLine="740"/>
        <w:jc w:val="both"/>
      </w:pPr>
      <w:r>
        <w:rPr>
          <w:rStyle w:val="CharStyle13"/>
        </w:rPr>
        <w:t xml:space="preserve">В отношении позиции </w:t>
      </w:r>
      <w:r>
        <w:rPr>
          <w:rStyle w:val="CharStyle13"/>
          <w:lang w:val="en-US" w:eastAsia="en-US"/>
        </w:rPr>
        <w:t xml:space="preserve">2 </w:t>
      </w:r>
      <w:r>
        <w:rPr>
          <w:rStyle w:val="CharStyle13"/>
        </w:rPr>
        <w:t>товара Заказчиком установлено преимущество товарам российско</w:t>
        <w:softHyphen/>
        <w:t>го происхождения, так как наименование закупаемого товара не соответствует, указанному в при</w:t>
        <w:softHyphen/>
        <w:t xml:space="preserve">ложении </w:t>
      </w:r>
      <w:r>
        <w:rPr>
          <w:rStyle w:val="CharStyle13"/>
          <w:lang w:val="en-US" w:eastAsia="en-US"/>
        </w:rPr>
        <w:t xml:space="preserve">№2 </w:t>
      </w:r>
      <w:r>
        <w:rPr>
          <w:rStyle w:val="CharStyle13"/>
        </w:rPr>
        <w:t xml:space="preserve">ПП РФ </w:t>
      </w:r>
      <w:r>
        <w:rPr>
          <w:rStyle w:val="CharStyle13"/>
          <w:lang w:val="en-US" w:eastAsia="en-US"/>
        </w:rPr>
        <w:t>1875.</w:t>
      </w:r>
    </w:p>
    <w:p>
      <w:pPr>
        <w:pStyle w:val="Style12"/>
        <w:keepNext w:val="0"/>
        <w:keepLines w:val="0"/>
        <w:widowControl w:val="0"/>
        <w:shd w:val="clear" w:color="auto" w:fill="auto"/>
        <w:bidi w:val="0"/>
        <w:spacing w:before="0" w:after="0"/>
        <w:ind w:left="0" w:right="0" w:firstLine="740"/>
        <w:jc w:val="both"/>
      </w:pPr>
      <w:r>
        <w:rPr>
          <w:rStyle w:val="CharStyle13"/>
        </w:rPr>
        <w:t xml:space="preserve">Подпунктом «в» пункта </w:t>
      </w:r>
      <w:r>
        <w:rPr>
          <w:rStyle w:val="CharStyle13"/>
          <w:lang w:val="en-US" w:eastAsia="en-US"/>
        </w:rPr>
        <w:t xml:space="preserve">4 </w:t>
      </w:r>
      <w:r>
        <w:rPr>
          <w:rStyle w:val="CharStyle13"/>
        </w:rPr>
        <w:t xml:space="preserve">ПП РФ </w:t>
      </w:r>
      <w:r>
        <w:rPr>
          <w:rStyle w:val="CharStyle13"/>
          <w:lang w:val="en-US" w:eastAsia="en-US"/>
        </w:rPr>
        <w:t xml:space="preserve">№1875 </w:t>
      </w:r>
      <w:r>
        <w:rPr>
          <w:rStyle w:val="CharStyle13"/>
        </w:rPr>
        <w:t xml:space="preserve">допускается включать в один объект закупки (предмет закупки) товары как указанные в приложении </w:t>
      </w:r>
      <w:r>
        <w:rPr>
          <w:rStyle w:val="CharStyle13"/>
          <w:lang w:val="en-US" w:eastAsia="en-US"/>
        </w:rPr>
        <w:t xml:space="preserve">№ 1 </w:t>
      </w:r>
      <w:r>
        <w:rPr>
          <w:rStyle w:val="CharStyle13"/>
        </w:rPr>
        <w:t xml:space="preserve">и приложении </w:t>
      </w:r>
      <w:r>
        <w:rPr>
          <w:rStyle w:val="CharStyle13"/>
          <w:lang w:val="en-US" w:eastAsia="en-US"/>
        </w:rPr>
        <w:t xml:space="preserve">№ 2 </w:t>
      </w:r>
      <w:r>
        <w:rPr>
          <w:rStyle w:val="CharStyle13"/>
        </w:rPr>
        <w:t xml:space="preserve">к ПП РФ </w:t>
      </w:r>
      <w:r>
        <w:rPr>
          <w:rStyle w:val="CharStyle13"/>
          <w:lang w:val="en-US" w:eastAsia="en-US"/>
        </w:rPr>
        <w:t xml:space="preserve">№1875, </w:t>
      </w:r>
      <w:r>
        <w:rPr>
          <w:rStyle w:val="CharStyle13"/>
        </w:rPr>
        <w:t>так и не указанные в таких приложениях, при этом:</w:t>
      </w:r>
    </w:p>
    <w:p>
      <w:pPr>
        <w:pStyle w:val="Style12"/>
        <w:keepNext w:val="0"/>
        <w:keepLines w:val="0"/>
        <w:widowControl w:val="0"/>
        <w:shd w:val="clear" w:color="auto" w:fill="auto"/>
        <w:bidi w:val="0"/>
        <w:spacing w:before="0" w:after="0"/>
        <w:ind w:left="0" w:right="0" w:firstLine="740"/>
        <w:jc w:val="both"/>
      </w:pPr>
      <w:r>
        <w:rPr>
          <w:rStyle w:val="CharStyle13"/>
        </w:rPr>
        <w:t xml:space="preserve">к включенным в объект закупки товарам, указанным в приложении </w:t>
      </w:r>
      <w:r>
        <w:rPr>
          <w:rStyle w:val="CharStyle13"/>
          <w:lang w:val="en-US" w:eastAsia="en-US"/>
        </w:rPr>
        <w:t xml:space="preserve">№ 2 </w:t>
      </w:r>
      <w:r>
        <w:rPr>
          <w:rStyle w:val="CharStyle13"/>
        </w:rPr>
        <w:t xml:space="preserve">ПП РФ </w:t>
      </w:r>
      <w:r>
        <w:rPr>
          <w:rStyle w:val="CharStyle13"/>
          <w:lang w:val="en-US" w:eastAsia="en-US"/>
        </w:rPr>
        <w:t xml:space="preserve">№1875, </w:t>
      </w:r>
      <w:r>
        <w:rPr>
          <w:rStyle w:val="CharStyle13"/>
        </w:rPr>
        <w:t>применяются положения, касающиеся ограничения;</w:t>
      </w:r>
    </w:p>
    <w:p>
      <w:pPr>
        <w:pStyle w:val="Style12"/>
        <w:keepNext w:val="0"/>
        <w:keepLines w:val="0"/>
        <w:widowControl w:val="0"/>
        <w:shd w:val="clear" w:color="auto" w:fill="auto"/>
        <w:bidi w:val="0"/>
        <w:spacing w:before="0" w:after="0"/>
        <w:ind w:left="0" w:right="0" w:firstLine="740"/>
        <w:jc w:val="both"/>
      </w:pPr>
      <w:r>
        <w:rPr>
          <w:rStyle w:val="CharStyle13"/>
        </w:rPr>
        <w:t xml:space="preserve">к включенным в объект закупки товарам, не указанным в приложении </w:t>
      </w:r>
      <w:r>
        <w:rPr>
          <w:rStyle w:val="CharStyle13"/>
          <w:lang w:val="en-US" w:eastAsia="en-US"/>
        </w:rPr>
        <w:t xml:space="preserve">№ 1 </w:t>
      </w:r>
      <w:r>
        <w:rPr>
          <w:rStyle w:val="CharStyle13"/>
        </w:rPr>
        <w:t xml:space="preserve">и приложении </w:t>
      </w:r>
      <w:r>
        <w:rPr>
          <w:rStyle w:val="CharStyle13"/>
          <w:lang w:val="en-US" w:eastAsia="en-US"/>
        </w:rPr>
        <w:t xml:space="preserve">№ 2 </w:t>
      </w:r>
      <w:r>
        <w:rPr>
          <w:rStyle w:val="CharStyle13"/>
        </w:rPr>
        <w:t xml:space="preserve">к ПП РФ </w:t>
      </w:r>
      <w:r>
        <w:rPr>
          <w:rStyle w:val="CharStyle13"/>
          <w:lang w:val="en-US" w:eastAsia="en-US"/>
        </w:rPr>
        <w:t xml:space="preserve">№1875, </w:t>
      </w:r>
      <w:r>
        <w:rPr>
          <w:rStyle w:val="CharStyle13"/>
        </w:rPr>
        <w:t>применяются положения, касающиеся преимущества.</w:t>
      </w:r>
    </w:p>
    <w:p>
      <w:pPr>
        <w:pStyle w:val="Style12"/>
        <w:keepNext w:val="0"/>
        <w:keepLines w:val="0"/>
        <w:widowControl w:val="0"/>
        <w:shd w:val="clear" w:color="auto" w:fill="auto"/>
        <w:bidi w:val="0"/>
        <w:spacing w:before="0" w:after="0"/>
        <w:ind w:left="0" w:right="0" w:firstLine="740"/>
        <w:jc w:val="both"/>
      </w:pPr>
      <w:r>
        <w:rPr>
          <w:rStyle w:val="CharStyle13"/>
        </w:rPr>
        <w:t xml:space="preserve">Согласно пункту </w:t>
      </w:r>
      <w:r>
        <w:rPr>
          <w:rStyle w:val="CharStyle13"/>
          <w:lang w:val="en-US" w:eastAsia="en-US"/>
        </w:rPr>
        <w:t xml:space="preserve">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43 </w:t>
      </w:r>
      <w:r>
        <w:rPr>
          <w:rStyle w:val="CharStyle13"/>
        </w:rPr>
        <w:t xml:space="preserve">Федерального закона от </w:t>
      </w:r>
      <w:r>
        <w:rPr>
          <w:rStyle w:val="CharStyle13"/>
          <w:lang w:val="en-US" w:eastAsia="en-US"/>
        </w:rPr>
        <w:t xml:space="preserve">05.04.2013 № </w:t>
      </w:r>
      <w:r>
        <w:rPr>
          <w:rStyle w:val="CharStyle13"/>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3"/>
          <w:lang w:val="en-US" w:eastAsia="en-US"/>
        </w:rPr>
        <w:t xml:space="preserve">- </w:t>
      </w:r>
      <w:r>
        <w:rPr>
          <w:rStyle w:val="CharStyle13"/>
        </w:rPr>
        <w:t>Закон о контрактной системе, Закон №44-ФЗ) для участия в кон</w:t>
        <w:softHyphen/>
        <w:t>кретном способе заявка на участие в закупке, если иное не предусмотрено Законом о контрактной системе, должна содержать:</w:t>
      </w:r>
    </w:p>
    <w:p>
      <w:pPr>
        <w:pStyle w:val="Style12"/>
        <w:keepNext w:val="0"/>
        <w:keepLines w:val="0"/>
        <w:widowControl w:val="0"/>
        <w:numPr>
          <w:ilvl w:val="0"/>
          <w:numId w:val="9"/>
        </w:numPr>
        <w:shd w:val="clear" w:color="auto" w:fill="auto"/>
        <w:tabs>
          <w:tab w:pos="908" w:val="left"/>
        </w:tabs>
        <w:bidi w:val="0"/>
        <w:spacing w:before="0" w:after="0"/>
        <w:ind w:left="0" w:right="0" w:firstLine="740"/>
        <w:jc w:val="both"/>
      </w:pPr>
      <w:r>
        <w:rPr>
          <w:rStyle w:val="CharStyle13"/>
          <w:lang w:val="en-US" w:eastAsia="en-US"/>
        </w:rPr>
        <w:t xml:space="preserve">) </w:t>
      </w:r>
      <w:r>
        <w:rPr>
          <w:rStyle w:val="CharStyle13"/>
        </w:rPr>
        <w:t xml:space="preserve">информация и документы, определенные в соответствии с пунктом </w:t>
      </w:r>
      <w:r>
        <w:rPr>
          <w:rStyle w:val="CharStyle13"/>
          <w:lang w:val="en-US" w:eastAsia="en-US"/>
        </w:rPr>
        <w:t xml:space="preserve">2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настоящего Федерального закона (в случае, если в извещении об осуществлении закупки, докумен</w:t>
        <w:softHyphen/>
        <w:t>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 имущество). В случае отсутствия таких информации и документов в заявке на участие в закупке такая заявка приравни</w:t>
        <w:softHyphen/>
        <w:t>вается к заявке, в которой содержится предложение о поставке товаров, происходящих из ино</w:t>
        <w:softHyphen/>
        <w:t>странного государства, работ, услуг, соответственно выполняемых, оказываемых иностранными лицами.</w:t>
      </w:r>
    </w:p>
    <w:p>
      <w:pPr>
        <w:pStyle w:val="Style12"/>
        <w:keepNext w:val="0"/>
        <w:keepLines w:val="0"/>
        <w:widowControl w:val="0"/>
        <w:shd w:val="clear" w:color="auto" w:fill="auto"/>
        <w:bidi w:val="0"/>
        <w:spacing w:before="0" w:after="0"/>
        <w:ind w:left="0" w:right="0" w:firstLine="740"/>
        <w:jc w:val="both"/>
      </w:pPr>
      <w:r>
        <w:rPr>
          <w:rStyle w:val="CharStyle13"/>
        </w:rPr>
        <w:t>Информацией и документами, подтверждающими страну происхождения товара в соответ</w:t>
        <w:softHyphen/>
        <w:t xml:space="preserve">ствии с требованиями ПП РФ </w:t>
      </w:r>
      <w:r>
        <w:rPr>
          <w:rStyle w:val="CharStyle13"/>
          <w:lang w:val="en-US" w:eastAsia="en-US"/>
        </w:rPr>
        <w:t xml:space="preserve">№1875 </w:t>
      </w:r>
      <w:r>
        <w:rPr>
          <w:rStyle w:val="CharStyle13"/>
        </w:rPr>
        <w:t xml:space="preserve">(с учетом подпункта «а» и подпункта «б» пункта </w:t>
      </w:r>
      <w:r>
        <w:rPr>
          <w:rStyle w:val="CharStyle13"/>
          <w:lang w:val="en-US" w:eastAsia="en-US"/>
        </w:rPr>
        <w:t xml:space="preserve">3, </w:t>
      </w:r>
      <w:r>
        <w:rPr>
          <w:rStyle w:val="CharStyle13"/>
        </w:rPr>
        <w:t>подпунк</w:t>
        <w:softHyphen/>
        <w:t xml:space="preserve">та «в» подпункта «н» пункта </w:t>
      </w:r>
      <w:r>
        <w:rPr>
          <w:rStyle w:val="CharStyle13"/>
          <w:lang w:val="en-US" w:eastAsia="en-US"/>
        </w:rPr>
        <w:t xml:space="preserve">10), </w:t>
      </w:r>
      <w:r>
        <w:rPr>
          <w:rStyle w:val="CharStyle13"/>
        </w:rPr>
        <w:t>являются:</w:t>
      </w:r>
    </w:p>
    <w:p>
      <w:pPr>
        <w:pStyle w:val="Style12"/>
        <w:keepNext w:val="0"/>
        <w:keepLines w:val="0"/>
        <w:widowControl w:val="0"/>
        <w:numPr>
          <w:ilvl w:val="0"/>
          <w:numId w:val="9"/>
        </w:numPr>
        <w:shd w:val="clear" w:color="auto" w:fill="auto"/>
        <w:tabs>
          <w:tab w:pos="1585" w:val="left"/>
        </w:tabs>
        <w:bidi w:val="0"/>
        <w:spacing w:before="0" w:after="0"/>
        <w:ind w:left="0" w:right="0" w:firstLine="740"/>
        <w:jc w:val="both"/>
      </w:pPr>
      <w:r>
        <w:rPr>
          <w:rStyle w:val="CharStyle13"/>
        </w:rPr>
        <w:t>номер реестровой записи из реестра российской промышленной продукции, предусмот-</w:t>
      </w:r>
    </w:p>
    <w:p>
      <w:pPr>
        <w:pStyle w:val="Style12"/>
        <w:keepNext w:val="0"/>
        <w:keepLines w:val="0"/>
        <w:widowControl w:val="0"/>
        <w:shd w:val="clear" w:color="auto" w:fill="auto"/>
        <w:bidi w:val="0"/>
        <w:spacing w:before="0" w:after="0"/>
        <w:ind w:left="0" w:right="0" w:firstLine="0"/>
        <w:jc w:val="both"/>
      </w:pPr>
      <w:r>
        <w:rPr>
          <w:rStyle w:val="CharStyle13"/>
        </w:rPr>
        <w:t xml:space="preserve">ренного статьей </w:t>
      </w:r>
      <w:r>
        <w:rPr>
          <w:rStyle w:val="CharStyle13"/>
          <w:lang w:val="en-US" w:eastAsia="en-US"/>
        </w:rPr>
        <w:t xml:space="preserve">17.1 </w:t>
      </w:r>
      <w:r>
        <w:rPr>
          <w:rStyle w:val="CharStyle13"/>
        </w:rPr>
        <w:t xml:space="preserve">Федерального закона «О промышленной политике в Российской Федерации» (далее </w:t>
      </w:r>
      <w:r>
        <w:rPr>
          <w:rStyle w:val="CharStyle13"/>
          <w:lang w:val="en-US" w:eastAsia="en-US"/>
        </w:rPr>
        <w:t xml:space="preserve">- </w:t>
      </w:r>
      <w:r>
        <w:rPr>
          <w:rStyle w:val="CharStyle13"/>
        </w:rPr>
        <w:t>реестр российской промышленной продукции), и справка, подтверждающая наличие спе</w:t>
        <w:softHyphen/>
        <w:t xml:space="preserve">циального инвестиционного контракта и предусмотренная пунктом </w:t>
      </w:r>
      <w:r>
        <w:rPr>
          <w:rStyle w:val="CharStyle13"/>
          <w:lang w:val="en-US" w:eastAsia="en-US"/>
        </w:rPr>
        <w:t xml:space="preserve">1(1) </w:t>
      </w:r>
      <w:r>
        <w:rPr>
          <w:rStyle w:val="CharStyle13"/>
        </w:rPr>
        <w:t>постановления Правитель</w:t>
        <w:softHyphen/>
        <w:t xml:space="preserve">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 719 </w:t>
      </w:r>
      <w:r>
        <w:rPr>
          <w:rStyle w:val="CharStyle13"/>
        </w:rPr>
        <w:t>«О подтверждении производства российской промышленной продукции», или</w:t>
      </w:r>
    </w:p>
    <w:p>
      <w:pPr>
        <w:pStyle w:val="Style12"/>
        <w:keepNext w:val="0"/>
        <w:keepLines w:val="0"/>
        <w:widowControl w:val="0"/>
        <w:shd w:val="clear" w:color="auto" w:fill="auto"/>
        <w:bidi w:val="0"/>
        <w:spacing w:before="0" w:after="0"/>
        <w:ind w:left="0" w:right="0" w:firstLine="740"/>
        <w:jc w:val="both"/>
      </w:pPr>
      <w:r>
        <w:rPr>
          <w:rStyle w:val="CharStyle13"/>
        </w:rPr>
        <w:t>номер реестровой записи из реестра российской промышленной продукции или из евразий</w:t>
        <w:softHyphen/>
        <w:t xml:space="preserve">ского реестра промышленных товаров государств </w:t>
      </w:r>
      <w:r>
        <w:rPr>
          <w:rStyle w:val="CharStyle13"/>
          <w:lang w:val="en-US" w:eastAsia="en-US"/>
        </w:rPr>
        <w:t xml:space="preserve">- </w:t>
      </w:r>
      <w:r>
        <w:rPr>
          <w:rStyle w:val="CharStyle13"/>
        </w:rPr>
        <w:t xml:space="preserve">членов Евразийского экономического союза, порядок формирования и ведения которого устанавливается правом Евразийского экономического союза (далее </w:t>
      </w:r>
      <w:r>
        <w:rPr>
          <w:rStyle w:val="CharStyle13"/>
          <w:lang w:val="en-US" w:eastAsia="en-US"/>
        </w:rPr>
        <w:t xml:space="preserve">- </w:t>
      </w:r>
      <w:r>
        <w:rPr>
          <w:rStyle w:val="CharStyle13"/>
        </w:rPr>
        <w:t>евразийский реестр промышленных товаров), содержащей в том числе: информа</w:t>
        <w:softHyphen/>
        <w:t>цию о совокупном количестве баллов за выполнение (освоение) на территории Российской Феде</w:t>
        <w:softHyphen/>
        <w:t xml:space="preserve">рации соответствующих операций (условий) (если в отношении такого товара постановлением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 719 </w:t>
      </w:r>
      <w:r>
        <w:rPr>
          <w:rStyle w:val="CharStyle13"/>
        </w:rPr>
        <w:t>«О подтверждении производства российской промышленной продукции» за выполнение (освоение) на территории Российской Фе</w:t>
        <w:softHyphen/>
        <w:t>дерации соответствующих операций (условий) установлены требования о совокупном количестве баллов) или на территории Евразийского экономического союза соответствующих операций (усло</w:t>
        <w:softHyphen/>
        <w:t>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w:t>
        <w:softHyphen/>
        <w:t xml:space="preserve">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 719 </w:t>
      </w:r>
      <w:r>
        <w:rPr>
          <w:rStyle w:val="CharStyle13"/>
        </w:rPr>
        <w:t>«О подтверждении производства российской промышленной продукции», включая значе</w:t>
        <w:softHyphen/>
        <w:t>ние, определенное для целей осуществления закупок (если постановлением Правительства Рос</w:t>
        <w:softHyphen/>
        <w:t xml:space="preserve">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 719 </w:t>
      </w:r>
      <w:r>
        <w:rPr>
          <w:rStyle w:val="CharStyle13"/>
        </w:rPr>
        <w:t>«О подтверждении производства российской про</w:t>
        <w:softHyphen/>
        <w:t>мышленной продукции» в отношении такого товара определено значение для целей осуществле</w:t>
        <w:softHyphen/>
        <w:t>ния закупок) или правом Евразийского экономического союза.</w:t>
      </w:r>
    </w:p>
    <w:p>
      <w:pPr>
        <w:pStyle w:val="Style12"/>
        <w:keepNext w:val="0"/>
        <w:keepLines w:val="0"/>
        <w:widowControl w:val="0"/>
        <w:shd w:val="clear" w:color="auto" w:fill="auto"/>
        <w:bidi w:val="0"/>
        <w:spacing w:before="0" w:after="0"/>
        <w:ind w:left="0" w:right="0" w:firstLine="740"/>
        <w:jc w:val="both"/>
      </w:pPr>
      <w:r>
        <w:rPr>
          <w:rStyle w:val="CharStyle13"/>
        </w:rPr>
        <w:t>Информация о совокупном количестве баллов не указывается в отношении товаров, указан</w:t>
        <w:softHyphen/>
        <w:t xml:space="preserve">ных в позициях </w:t>
      </w:r>
      <w:r>
        <w:rPr>
          <w:rStyle w:val="CharStyle13"/>
          <w:lang w:val="en-US" w:eastAsia="en-US"/>
        </w:rPr>
        <w:t xml:space="preserve">2, 172-179, 189, 362-364, 366-378, 383 388, 390-415, 429-433 </w:t>
      </w:r>
      <w:r>
        <w:rPr>
          <w:rStyle w:val="CharStyle13"/>
        </w:rPr>
        <w:t xml:space="preserve">приложения </w:t>
      </w:r>
      <w:r>
        <w:rPr>
          <w:rStyle w:val="CharStyle13"/>
          <w:lang w:val="en-US" w:eastAsia="en-US"/>
        </w:rPr>
        <w:t xml:space="preserve">№2 </w:t>
      </w:r>
      <w:r>
        <w:rPr>
          <w:rStyle w:val="CharStyle13"/>
        </w:rPr>
        <w:t xml:space="preserve">ПП РФ </w:t>
      </w:r>
      <w:r>
        <w:rPr>
          <w:rStyle w:val="CharStyle13"/>
          <w:lang w:val="en-US" w:eastAsia="en-US"/>
        </w:rPr>
        <w:t xml:space="preserve">№1875, </w:t>
      </w:r>
      <w:r>
        <w:rPr>
          <w:rStyle w:val="CharStyle13"/>
        </w:rPr>
        <w:t>реестровые записи в реестре российской промышленной продукции в отношении кото</w:t>
        <w:softHyphen/>
        <w:t>рых сформированы по 30.06.2026г. включительно и (или)</w:t>
      </w:r>
    </w:p>
    <w:p>
      <w:pPr>
        <w:pStyle w:val="Style12"/>
        <w:keepNext w:val="0"/>
        <w:keepLines w:val="0"/>
        <w:widowControl w:val="0"/>
        <w:numPr>
          <w:ilvl w:val="0"/>
          <w:numId w:val="9"/>
        </w:numPr>
        <w:shd w:val="clear" w:color="auto" w:fill="auto"/>
        <w:tabs>
          <w:tab w:pos="942" w:val="left"/>
        </w:tabs>
        <w:bidi w:val="0"/>
        <w:spacing w:before="0" w:after="0"/>
        <w:ind w:left="0" w:right="0" w:firstLine="740"/>
        <w:jc w:val="both"/>
      </w:pPr>
      <w:r>
        <w:rPr>
          <w:rStyle w:val="CharStyle13"/>
        </w:rPr>
        <w:t xml:space="preserve">сертификат о происхождении товара, выданный уполномоченным органом (организацией) государства </w:t>
      </w:r>
      <w:r>
        <w:rPr>
          <w:rStyle w:val="CharStyle13"/>
          <w:lang w:val="en-US" w:eastAsia="en-US"/>
        </w:rPr>
        <w:t xml:space="preserve">- </w:t>
      </w:r>
      <w:r>
        <w:rPr>
          <w:rStyle w:val="CharStyle13"/>
        </w:rPr>
        <w:t xml:space="preserve">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w:t>
      </w:r>
      <w:r>
        <w:rPr>
          <w:rStyle w:val="CharStyle13"/>
          <w:lang w:val="en-US" w:eastAsia="en-US"/>
        </w:rPr>
        <w:t xml:space="preserve">20 </w:t>
      </w:r>
      <w:r>
        <w:rPr>
          <w:rStyle w:val="CharStyle13"/>
        </w:rPr>
        <w:t xml:space="preserve">ноября </w:t>
      </w:r>
      <w:r>
        <w:rPr>
          <w:rStyle w:val="CharStyle13"/>
          <w:lang w:val="en-US" w:eastAsia="en-US"/>
        </w:rPr>
        <w:t xml:space="preserve">2009 </w:t>
      </w:r>
      <w:r>
        <w:rPr>
          <w:rStyle w:val="CharStyle13"/>
        </w:rPr>
        <w:t xml:space="preserve">г. (далее </w:t>
      </w:r>
      <w:r>
        <w:rPr>
          <w:rStyle w:val="CharStyle13"/>
          <w:lang w:val="en-US" w:eastAsia="en-US"/>
        </w:rPr>
        <w:t xml:space="preserve">- </w:t>
      </w:r>
      <w:r>
        <w:rPr>
          <w:rStyle w:val="CharStyle13"/>
        </w:rPr>
        <w:t>Правила определения страны происхождения товаров), и в соответствии с критериями определения страны происхождения товаров, предусмотренными Правилами опреде</w:t>
        <w:softHyphen/>
        <w:t>ления страны происхождения товаров.</w:t>
      </w:r>
    </w:p>
    <w:p>
      <w:pPr>
        <w:pStyle w:val="Style12"/>
        <w:keepNext w:val="0"/>
        <w:keepLines w:val="0"/>
        <w:widowControl w:val="0"/>
        <w:shd w:val="clear" w:color="auto" w:fill="auto"/>
        <w:bidi w:val="0"/>
        <w:spacing w:before="0" w:after="0"/>
        <w:ind w:left="0" w:right="0" w:firstLine="740"/>
        <w:jc w:val="both"/>
      </w:pPr>
      <w:r>
        <w:rPr>
          <w:rStyle w:val="CharStyle13"/>
        </w:rPr>
        <w:t xml:space="preserve">В соответствии с пунктом </w:t>
      </w:r>
      <w:r>
        <w:rPr>
          <w:rStyle w:val="CharStyle13"/>
          <w:lang w:val="en-US" w:eastAsia="en-US"/>
        </w:rPr>
        <w:t xml:space="preserve">4 </w:t>
      </w:r>
      <w:r>
        <w:rPr>
          <w:rStyle w:val="CharStyle13"/>
        </w:rPr>
        <w:t xml:space="preserve">части </w:t>
      </w:r>
      <w:r>
        <w:rPr>
          <w:rStyle w:val="CharStyle13"/>
          <w:lang w:val="en-US" w:eastAsia="en-US"/>
        </w:rPr>
        <w:t xml:space="preserve">12 </w:t>
      </w:r>
      <w:r>
        <w:rPr>
          <w:rStyle w:val="CharStyle13"/>
        </w:rPr>
        <w:t xml:space="preserve">статьи </w:t>
      </w:r>
      <w:r>
        <w:rPr>
          <w:rStyle w:val="CharStyle13"/>
          <w:lang w:val="en-US" w:eastAsia="en-US"/>
        </w:rPr>
        <w:t xml:space="preserve">48 </w:t>
      </w:r>
      <w:r>
        <w:rPr>
          <w:rStyle w:val="CharStyle13"/>
        </w:rPr>
        <w:t>Закона о контрактной системе при рассмот</w:t>
        <w:softHyphen/>
        <w:t>рении вторых частей заявок на участие в закупке соответствующая заявка подлежит отклонению в случаях:</w:t>
      </w:r>
    </w:p>
    <w:p>
      <w:pPr>
        <w:pStyle w:val="Style12"/>
        <w:keepNext w:val="0"/>
        <w:keepLines w:val="0"/>
        <w:widowControl w:val="0"/>
        <w:shd w:val="clear" w:color="auto" w:fill="auto"/>
        <w:bidi w:val="0"/>
        <w:spacing w:before="0" w:after="0"/>
        <w:ind w:left="0" w:right="0" w:firstLine="740"/>
        <w:jc w:val="both"/>
      </w:pPr>
      <w:r>
        <w:rPr>
          <w:rStyle w:val="CharStyle13"/>
          <w:lang w:val="en-US" w:eastAsia="en-US"/>
        </w:rPr>
        <w:t xml:space="preserve">4) </w:t>
      </w:r>
      <w:r>
        <w:rPr>
          <w:rStyle w:val="CharStyle13"/>
        </w:rPr>
        <w:t xml:space="preserve">предусмотренных подпунктом «а» пункта </w:t>
      </w:r>
      <w:r>
        <w:rPr>
          <w:rStyle w:val="CharStyle13"/>
          <w:lang w:val="en-US" w:eastAsia="en-US"/>
        </w:rPr>
        <w:t xml:space="preserve">1 </w:t>
      </w:r>
      <w:r>
        <w:rPr>
          <w:rStyle w:val="CharStyle13"/>
        </w:rPr>
        <w:t xml:space="preserve">(за исключением случая, предусмотренного пунктом </w:t>
      </w:r>
      <w:r>
        <w:rPr>
          <w:rStyle w:val="CharStyle13"/>
          <w:lang w:val="en-US" w:eastAsia="en-US"/>
        </w:rPr>
        <w:t xml:space="preserve">5 </w:t>
      </w:r>
      <w:r>
        <w:rPr>
          <w:rStyle w:val="CharStyle13"/>
        </w:rPr>
        <w:t xml:space="preserve">настоящей части), подпунктом «а» пункта </w:t>
      </w:r>
      <w:r>
        <w:rPr>
          <w:rStyle w:val="CharStyle13"/>
          <w:lang w:val="en-US" w:eastAsia="en-US"/>
        </w:rPr>
        <w:t xml:space="preserve">2 </w:t>
      </w:r>
      <w:r>
        <w:rPr>
          <w:rStyle w:val="CharStyle13"/>
        </w:rPr>
        <w:t xml:space="preserve">части </w:t>
      </w:r>
      <w:r>
        <w:rPr>
          <w:rStyle w:val="CharStyle13"/>
          <w:lang w:val="en-US" w:eastAsia="en-US"/>
        </w:rPr>
        <w:t xml:space="preserve">4, </w:t>
      </w:r>
      <w:r>
        <w:rPr>
          <w:rStyle w:val="CharStyle13"/>
        </w:rPr>
        <w:t xml:space="preserve">подпунктом «а» пункта </w:t>
      </w:r>
      <w:r>
        <w:rPr>
          <w:rStyle w:val="CharStyle13"/>
          <w:lang w:val="en-US" w:eastAsia="en-US"/>
        </w:rPr>
        <w:t xml:space="preserve">1 </w:t>
      </w:r>
      <w:r>
        <w:rPr>
          <w:rStyle w:val="CharStyle13"/>
        </w:rPr>
        <w:t xml:space="preserve">(за исключением случая, предусмотренного пунктом </w:t>
      </w:r>
      <w:r>
        <w:rPr>
          <w:rStyle w:val="CharStyle13"/>
          <w:lang w:val="en-US" w:eastAsia="en-US"/>
        </w:rPr>
        <w:t xml:space="preserve">5 </w:t>
      </w:r>
      <w:r>
        <w:rPr>
          <w:rStyle w:val="CharStyle13"/>
        </w:rPr>
        <w:t xml:space="preserve">настоящей части), пунктом </w:t>
      </w:r>
      <w:r>
        <w:rPr>
          <w:rStyle w:val="CharStyle13"/>
          <w:lang w:val="en-US" w:eastAsia="en-US"/>
        </w:rPr>
        <w:t xml:space="preserve">2 </w:t>
      </w:r>
      <w:r>
        <w:rPr>
          <w:rStyle w:val="CharStyle13"/>
        </w:rPr>
        <w:t xml:space="preserve">части </w:t>
      </w:r>
      <w:r>
        <w:rPr>
          <w:rStyle w:val="CharStyle13"/>
          <w:lang w:val="en-US" w:eastAsia="en-US"/>
        </w:rPr>
        <w:t xml:space="preserve">5 </w:t>
      </w:r>
      <w:r>
        <w:rPr>
          <w:rStyle w:val="CharStyle13"/>
        </w:rPr>
        <w:t xml:space="preserve">статьи </w:t>
      </w:r>
      <w:r>
        <w:rPr>
          <w:rStyle w:val="CharStyle13"/>
          <w:lang w:val="en-US" w:eastAsia="en-US"/>
        </w:rPr>
        <w:t xml:space="preserve">14 </w:t>
      </w:r>
      <w:r>
        <w:rPr>
          <w:rStyle w:val="CharStyle13"/>
        </w:rPr>
        <w:t>настоящего Федерального закона.</w:t>
      </w:r>
    </w:p>
    <w:p>
      <w:pPr>
        <w:pStyle w:val="Style12"/>
        <w:keepNext w:val="0"/>
        <w:keepLines w:val="0"/>
        <w:widowControl w:val="0"/>
        <w:shd w:val="clear" w:color="auto" w:fill="auto"/>
        <w:bidi w:val="0"/>
        <w:spacing w:before="0" w:after="0"/>
        <w:ind w:left="0" w:right="0" w:firstLine="740"/>
        <w:jc w:val="both"/>
      </w:pPr>
      <w:r>
        <w:rPr>
          <w:rStyle w:val="CharStyle13"/>
        </w:rPr>
        <w:t xml:space="preserve">В соответствии с Протоколом подведения итогов определения поставщика (подрядчика, исполнителя) по закупке </w:t>
      </w:r>
      <w:r>
        <w:rPr>
          <w:rStyle w:val="CharStyle13"/>
          <w:lang w:val="en-US" w:eastAsia="en-US"/>
        </w:rPr>
        <w:t xml:space="preserve">№ 0387200000926000298, </w:t>
      </w:r>
      <w:r>
        <w:rPr>
          <w:rStyle w:val="CharStyle13"/>
        </w:rPr>
        <w:t xml:space="preserve">комиссией по осуществлению закупок заказчика рассматривались заявки </w:t>
      </w:r>
      <w:r>
        <w:rPr>
          <w:rStyle w:val="CharStyle13"/>
          <w:lang w:val="en-US" w:eastAsia="en-US"/>
        </w:rPr>
        <w:t xml:space="preserve">4 </w:t>
      </w:r>
      <w:r>
        <w:rPr>
          <w:rStyle w:val="CharStyle13"/>
        </w:rPr>
        <w:t>участников закупки.</w:t>
      </w:r>
    </w:p>
    <w:p>
      <w:pPr>
        <w:pStyle w:val="Style12"/>
        <w:keepNext w:val="0"/>
        <w:keepLines w:val="0"/>
        <w:widowControl w:val="0"/>
        <w:shd w:val="clear" w:color="auto" w:fill="auto"/>
        <w:bidi w:val="0"/>
        <w:spacing w:before="0" w:after="0"/>
        <w:ind w:left="0" w:right="0" w:firstLine="740"/>
        <w:jc w:val="both"/>
      </w:pPr>
      <w:r>
        <w:rPr>
          <w:rStyle w:val="CharStyle13"/>
        </w:rPr>
        <w:t xml:space="preserve">В результате рассмотрения указанных заявок, комиссия по осуществлению закупок Заказчика приняла решение признать заявку участника закупки с идентификационным номером </w:t>
      </w:r>
      <w:r>
        <w:rPr>
          <w:rStyle w:val="CharStyle13"/>
          <w:lang w:val="en-US" w:eastAsia="en-US"/>
        </w:rPr>
        <w:t xml:space="preserve">121065956 </w:t>
      </w:r>
      <w:r>
        <w:rPr>
          <w:rStyle w:val="CharStyle13"/>
        </w:rPr>
        <w:t>соответствующей требованиям извещения об осуществлении Закупки.</w:t>
      </w:r>
    </w:p>
    <w:p>
      <w:pPr>
        <w:pStyle w:val="Style12"/>
        <w:keepNext w:val="0"/>
        <w:keepLines w:val="0"/>
        <w:widowControl w:val="0"/>
        <w:shd w:val="clear" w:color="auto" w:fill="auto"/>
        <w:bidi w:val="0"/>
        <w:spacing w:before="0" w:after="0"/>
        <w:ind w:left="0" w:right="0" w:firstLine="740"/>
        <w:jc w:val="both"/>
      </w:pPr>
      <w:r>
        <w:rPr>
          <w:rStyle w:val="CharStyle13"/>
        </w:rPr>
        <w:t xml:space="preserve">Заявка Заявителя с идентификационным номером </w:t>
      </w:r>
      <w:r>
        <w:rPr>
          <w:rStyle w:val="CharStyle13"/>
          <w:lang w:val="en-US" w:eastAsia="en-US"/>
        </w:rPr>
        <w:t xml:space="preserve">121064763, </w:t>
      </w:r>
      <w:r>
        <w:rPr>
          <w:rStyle w:val="CharStyle13"/>
        </w:rPr>
        <w:t xml:space="preserve">а также заявки под идентификационными номерами </w:t>
      </w:r>
      <w:r>
        <w:rPr>
          <w:rStyle w:val="CharStyle13"/>
          <w:lang w:val="en-US" w:eastAsia="en-US"/>
        </w:rPr>
        <w:t xml:space="preserve">121077034, 121078257 </w:t>
      </w:r>
      <w:r>
        <w:rPr>
          <w:rStyle w:val="CharStyle13"/>
        </w:rPr>
        <w:t>были отклонены по следующему основанию:</w:t>
      </w:r>
    </w:p>
    <w:p>
      <w:pPr>
        <w:pStyle w:val="Style12"/>
        <w:keepNext w:val="0"/>
        <w:keepLines w:val="0"/>
        <w:widowControl w:val="0"/>
        <w:shd w:val="clear" w:color="auto" w:fill="auto"/>
        <w:bidi w:val="0"/>
        <w:spacing w:before="0" w:after="0"/>
        <w:ind w:left="0" w:right="0" w:firstLine="740"/>
        <w:jc w:val="both"/>
      </w:pPr>
      <w:r>
        <w:rPr>
          <w:rStyle w:val="CharStyle13"/>
        </w:rPr>
        <w:t xml:space="preserve">«Несоответствие требованиям нормативных правовых актов, принятых в соответствии с ст. </w:t>
      </w:r>
      <w:r>
        <w:rPr>
          <w:rStyle w:val="CharStyle13"/>
          <w:lang w:val="en-US" w:eastAsia="en-US"/>
        </w:rPr>
        <w:t xml:space="preserve">14 </w:t>
      </w:r>
      <w:r>
        <w:rPr>
          <w:rStyle w:val="CharStyle13"/>
        </w:rPr>
        <w:t xml:space="preserve">Закона </w:t>
      </w:r>
      <w:r>
        <w:rPr>
          <w:rStyle w:val="CharStyle13"/>
          <w:lang w:val="en-US" w:eastAsia="en-US"/>
        </w:rPr>
        <w:t xml:space="preserve">№ </w:t>
      </w:r>
      <w:r>
        <w:rPr>
          <w:rStyle w:val="CharStyle13"/>
        </w:rPr>
        <w:t xml:space="preserve">44-ФЗ (Отклонение по п. </w:t>
      </w:r>
      <w:r>
        <w:rPr>
          <w:rStyle w:val="CharStyle13"/>
          <w:lang w:val="en-US" w:eastAsia="en-US"/>
        </w:rPr>
        <w:t xml:space="preserve">4 </w:t>
      </w:r>
      <w:r>
        <w:rPr>
          <w:rStyle w:val="CharStyle13"/>
        </w:rPr>
        <w:t xml:space="preserve">ч. </w:t>
      </w:r>
      <w:r>
        <w:rPr>
          <w:rStyle w:val="CharStyle13"/>
          <w:lang w:val="en-US" w:eastAsia="en-US"/>
        </w:rPr>
        <w:t xml:space="preserve">12 </w:t>
      </w:r>
      <w:r>
        <w:rPr>
          <w:rStyle w:val="CharStyle13"/>
        </w:rPr>
        <w:t xml:space="preserve">ст. </w:t>
      </w:r>
      <w:r>
        <w:rPr>
          <w:rStyle w:val="CharStyle13"/>
          <w:lang w:val="en-US" w:eastAsia="en-US"/>
        </w:rPr>
        <w:t xml:space="preserve">48 </w:t>
      </w:r>
      <w:r>
        <w:rPr>
          <w:rStyle w:val="CharStyle13"/>
        </w:rPr>
        <w:t xml:space="preserve">Закона </w:t>
      </w:r>
      <w:r>
        <w:rPr>
          <w:rStyle w:val="CharStyle13"/>
          <w:lang w:val="en-US" w:eastAsia="en-US"/>
        </w:rPr>
        <w:t xml:space="preserve">№ </w:t>
      </w:r>
      <w:r>
        <w:rPr>
          <w:rStyle w:val="CharStyle13"/>
        </w:rPr>
        <w:t xml:space="preserve">44-ФЗ) Участником по пункту </w:t>
      </w:r>
      <w:r>
        <w:rPr>
          <w:rStyle w:val="CharStyle13"/>
          <w:lang w:val="en-US" w:eastAsia="en-US"/>
        </w:rPr>
        <w:t xml:space="preserve">1 </w:t>
      </w:r>
      <w:r>
        <w:rPr>
          <w:rStyle w:val="CharStyle13"/>
        </w:rPr>
        <w:t xml:space="preserve">описания объекта закупки не предоставлены информация и документы в совокупности, подтверждающие происхождение товаров из Российской Федерации, в соответствии с Постановлением Правительства РФ от </w:t>
      </w:r>
      <w:r>
        <w:rPr>
          <w:rStyle w:val="CharStyle13"/>
          <w:lang w:val="en-US" w:eastAsia="en-US"/>
        </w:rPr>
        <w:t xml:space="preserve">23.12.2024 N 1875 </w:t>
      </w:r>
      <w:r>
        <w:rPr>
          <w:rStyle w:val="CharStyle13"/>
        </w:rPr>
        <w:t xml:space="preserve">и требованиями к содержанию, составу заявки на участие в электронной закупке в соответствии с Законом о контрактной системе и инструкция по ее заполнению: </w:t>
      </w:r>
      <w:r>
        <w:rPr>
          <w:rStyle w:val="CharStyle13"/>
          <w:lang w:val="en-US" w:eastAsia="en-US"/>
        </w:rPr>
        <w:t xml:space="preserve">- </w:t>
      </w:r>
      <w:r>
        <w:rPr>
          <w:rStyle w:val="CharStyle13"/>
        </w:rPr>
        <w:t xml:space="preserve">номер реестровой записи из реестра российской промышленной продукции, предусмотренного статьей </w:t>
      </w:r>
      <w:r>
        <w:rPr>
          <w:rStyle w:val="CharStyle13"/>
          <w:lang w:val="en-US" w:eastAsia="en-US"/>
        </w:rPr>
        <w:t xml:space="preserve">17.1 </w:t>
      </w:r>
      <w:r>
        <w:rPr>
          <w:rStyle w:val="CharStyle13"/>
        </w:rPr>
        <w:t xml:space="preserve">Федерального закона «О промышленной политике в Российской Федерации» (далее </w:t>
      </w:r>
      <w:r>
        <w:rPr>
          <w:rStyle w:val="CharStyle13"/>
          <w:lang w:val="en-US" w:eastAsia="en-US"/>
        </w:rPr>
        <w:t xml:space="preserve">- </w:t>
      </w:r>
      <w:r>
        <w:rPr>
          <w:rStyle w:val="CharStyle13"/>
        </w:rPr>
        <w:t xml:space="preserve">реестр российской промышленной продукции), и справка, подтверждающая наличие специального инвестиционного контракта и предусмотренная пунктом </w:t>
      </w:r>
      <w:r>
        <w:rPr>
          <w:rStyle w:val="CharStyle13"/>
          <w:lang w:val="en-US" w:eastAsia="en-US"/>
        </w:rPr>
        <w:t xml:space="preserve">1(1) </w:t>
      </w:r>
      <w:r>
        <w:rPr>
          <w:rStyle w:val="CharStyle13"/>
        </w:rPr>
        <w:t xml:space="preserve">постановления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 719 </w:t>
      </w:r>
      <w:r>
        <w:rPr>
          <w:rStyle w:val="CharStyle13"/>
        </w:rPr>
        <w:t xml:space="preserve">«О подтверждении производства российской промышленной продукции», или номер реестровой записи из реестра российской промышленной продукции, содержащей в том числе: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 719 </w:t>
      </w:r>
      <w:r>
        <w:rPr>
          <w:rStyle w:val="CharStyle13"/>
        </w:rPr>
        <w:t xml:space="preserve">«О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 719 </w:t>
      </w:r>
      <w:r>
        <w:rPr>
          <w:rStyle w:val="CharStyle13"/>
        </w:rPr>
        <w:t xml:space="preserve">«О подтверждении производства российской промышленной продукции», включая значение, определенное для целей осуществления закупок (если постановлением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 719 </w:t>
      </w:r>
      <w:r>
        <w:rPr>
          <w:rStyle w:val="CharStyle13"/>
        </w:rPr>
        <w:t xml:space="preserve">«О подтверждении производства российской промышленной продукции» в отношении такого товара определено значение для целей осуществления закупок); и (или) </w:t>
      </w:r>
      <w:r>
        <w:rPr>
          <w:rStyle w:val="CharStyle13"/>
          <w:lang w:val="en-US" w:eastAsia="en-US"/>
        </w:rPr>
        <w:t xml:space="preserve">- </w:t>
      </w:r>
      <w:r>
        <w:rPr>
          <w:rStyle w:val="CharStyle13"/>
        </w:rPr>
        <w:t xml:space="preserve">сертификат о происхождении товара, выданный уполномоченным органом (организацией) государства </w:t>
      </w:r>
      <w:r>
        <w:rPr>
          <w:rStyle w:val="CharStyle13"/>
          <w:lang w:val="en-US" w:eastAsia="en-US"/>
        </w:rPr>
        <w:t xml:space="preserve">- </w:t>
      </w:r>
      <w:r>
        <w:rPr>
          <w:rStyle w:val="CharStyle13"/>
        </w:rPr>
        <w:t xml:space="preserve">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w:t>
      </w:r>
      <w:r>
        <w:rPr>
          <w:rStyle w:val="CharStyle13"/>
          <w:lang w:val="en-US" w:eastAsia="en-US"/>
        </w:rPr>
        <w:t xml:space="preserve">20 </w:t>
      </w:r>
      <w:r>
        <w:rPr>
          <w:rStyle w:val="CharStyle13"/>
        </w:rPr>
        <w:t xml:space="preserve">ноября </w:t>
      </w:r>
      <w:r>
        <w:rPr>
          <w:rStyle w:val="CharStyle13"/>
          <w:lang w:val="en-US" w:eastAsia="en-US"/>
        </w:rPr>
        <w:t xml:space="preserve">2009 </w:t>
      </w:r>
      <w:r>
        <w:rPr>
          <w:rStyle w:val="CharStyle13"/>
        </w:rPr>
        <w:t xml:space="preserve">г. (далее </w:t>
      </w:r>
      <w:r>
        <w:rPr>
          <w:rStyle w:val="CharStyle13"/>
          <w:lang w:val="en-US" w:eastAsia="en-US"/>
        </w:rPr>
        <w:t xml:space="preserve">- </w:t>
      </w:r>
      <w:r>
        <w:rPr>
          <w:rStyle w:val="CharStyle13"/>
        </w:rPr>
        <w:t>Правила определения страны происхождения товаров), и в соответствии с критериями определения страны происхождения товаров, предусмотренными Правилами определения страны происхождения товаров».</w:t>
      </w:r>
    </w:p>
    <w:p>
      <w:pPr>
        <w:pStyle w:val="Style12"/>
        <w:keepNext w:val="0"/>
        <w:keepLines w:val="0"/>
        <w:widowControl w:val="0"/>
        <w:shd w:val="clear" w:color="auto" w:fill="auto"/>
        <w:bidi w:val="0"/>
        <w:spacing w:before="0" w:after="0"/>
        <w:ind w:left="0" w:right="0" w:firstLine="740"/>
        <w:jc w:val="both"/>
      </w:pPr>
      <w:r>
        <w:rPr>
          <w:rStyle w:val="CharStyle13"/>
        </w:rPr>
        <w:t xml:space="preserve">Изучив заявки Комиссией Управления установлено, что в составе заявки, признанной победителем </w:t>
      </w:r>
      <w:r>
        <w:rPr>
          <w:rStyle w:val="CharStyle13"/>
          <w:lang w:val="en-US" w:eastAsia="en-US"/>
        </w:rPr>
        <w:t xml:space="preserve">(121065956) </w:t>
      </w:r>
      <w:r>
        <w:rPr>
          <w:rStyle w:val="CharStyle13"/>
        </w:rPr>
        <w:t xml:space="preserve">по позиции </w:t>
      </w:r>
      <w:r>
        <w:rPr>
          <w:rStyle w:val="CharStyle13"/>
          <w:lang w:val="en-US" w:eastAsia="en-US"/>
        </w:rPr>
        <w:t xml:space="preserve">1 </w:t>
      </w:r>
      <w:r>
        <w:rPr>
          <w:rStyle w:val="CharStyle13"/>
        </w:rPr>
        <w:t xml:space="preserve">«Реагент для лизиса клеток крови ИВД» указано наименование медицинского изделия в соответствии с РУ: Г004-00110-00/04739558 Лизирующий реагент </w:t>
      </w:r>
      <w:r>
        <w:rPr>
          <w:rStyle w:val="CharStyle13"/>
          <w:lang w:val="en-US" w:eastAsia="en-US"/>
        </w:rPr>
        <w:t xml:space="preserve">Sulfolyser </w:t>
      </w:r>
      <w:r>
        <w:rPr>
          <w:rStyle w:val="CharStyle13"/>
        </w:rPr>
        <w:t xml:space="preserve">(5л), </w:t>
      </w:r>
      <w:r>
        <w:rPr>
          <w:rStyle w:val="CharStyle13"/>
          <w:u w:val="single"/>
        </w:rPr>
        <w:t xml:space="preserve">указана страна происхождения Российская Федерация, указан реестровый номер РРПП </w:t>
      </w:r>
      <w:r>
        <w:rPr>
          <w:rStyle w:val="CharStyle13"/>
          <w:u w:val="single"/>
          <w:lang w:val="en-US" w:eastAsia="en-US"/>
        </w:rPr>
        <w:t xml:space="preserve">10694068 </w:t>
      </w:r>
      <w:r>
        <w:rPr>
          <w:rStyle w:val="CharStyle13"/>
          <w:u w:val="single"/>
        </w:rPr>
        <w:t>для подтверждения страны происхождения Российская Федерация.</w:t>
      </w:r>
    </w:p>
    <w:p>
      <w:pPr>
        <w:pStyle w:val="Style12"/>
        <w:keepNext w:val="0"/>
        <w:keepLines w:val="0"/>
        <w:widowControl w:val="0"/>
        <w:shd w:val="clear" w:color="auto" w:fill="auto"/>
        <w:bidi w:val="0"/>
        <w:spacing w:before="0" w:after="0"/>
        <w:ind w:left="0" w:right="0" w:firstLine="740"/>
        <w:jc w:val="both"/>
      </w:pPr>
      <w:r>
        <w:rPr>
          <w:rStyle w:val="CharStyle13"/>
        </w:rPr>
        <w:t>Также Участником закупки предоставлена выписка из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pPr>
        <w:pStyle w:val="Style12"/>
        <w:keepNext w:val="0"/>
        <w:keepLines w:val="0"/>
        <w:widowControl w:val="0"/>
        <w:shd w:val="clear" w:color="auto" w:fill="auto"/>
        <w:bidi w:val="0"/>
        <w:spacing w:before="0" w:after="0"/>
        <w:ind w:left="0" w:right="0" w:firstLine="740"/>
        <w:jc w:val="both"/>
      </w:pPr>
      <w:r>
        <w:rPr>
          <w:rStyle w:val="CharStyle13"/>
        </w:rPr>
        <w:t xml:space="preserve">Согласно указанной выписки, а также информации содержащейся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(далее </w:t>
      </w:r>
      <w:r>
        <w:rPr>
          <w:rStyle w:val="CharStyle13"/>
          <w:lang w:val="en-US" w:eastAsia="en-US"/>
        </w:rPr>
        <w:t xml:space="preserve">— </w:t>
      </w:r>
      <w:r>
        <w:rPr>
          <w:rStyle w:val="CharStyle13"/>
        </w:rPr>
        <w:t>гос.реестр) Адрес места производства или изготовления медицинского изделия:</w:t>
      </w:r>
    </w:p>
    <w:p>
      <w:pPr>
        <w:pStyle w:val="Style12"/>
        <w:keepNext w:val="0"/>
        <w:keepLines w:val="0"/>
        <w:widowControl w:val="0"/>
        <w:numPr>
          <w:ilvl w:val="0"/>
          <w:numId w:val="11"/>
        </w:numPr>
        <w:shd w:val="clear" w:color="auto" w:fill="auto"/>
        <w:tabs>
          <w:tab w:pos="979" w:val="left"/>
        </w:tabs>
        <w:bidi w:val="0"/>
        <w:spacing w:before="0" w:after="0"/>
        <w:ind w:left="0" w:right="0" w:firstLine="740"/>
        <w:jc w:val="both"/>
      </w:pPr>
      <w:r>
        <w:rPr>
          <w:rStyle w:val="CharStyle13"/>
          <w:lang w:val="en-US" w:eastAsia="en-US"/>
        </w:rPr>
        <w:t>. SYSMEX CORPORATION, Head Office, 1-5-1 Wakinohama-Kaigandori, Chuo-ku, Kobe 651</w:t>
        <w:softHyphen/>
        <w:t xml:space="preserve">0073, Japan. 2. SYSMEX CORPORATION, 4-4-4 Takatsukadai, Nishi-ku, Kobe 651-2271 Japan. 3. </w:t>
      </w:r>
      <w:r>
        <w:rPr>
          <w:rStyle w:val="CharStyle13"/>
          <w:u w:val="single"/>
        </w:rPr>
        <w:t xml:space="preserve">ООО «Сисмекс Продакшн РУС», </w:t>
      </w:r>
      <w:r>
        <w:rPr>
          <w:rStyle w:val="CharStyle13"/>
          <w:u w:val="single"/>
          <w:lang w:val="en-US" w:eastAsia="en-US"/>
        </w:rPr>
        <w:t xml:space="preserve">142434, </w:t>
      </w:r>
      <w:r>
        <w:rPr>
          <w:rStyle w:val="CharStyle13"/>
          <w:u w:val="single"/>
        </w:rPr>
        <w:t xml:space="preserve">Московская область, г. Ногинск, тер, Промплощадка </w:t>
      </w:r>
      <w:r>
        <w:rPr>
          <w:rStyle w:val="CharStyle13"/>
          <w:u w:val="single"/>
          <w:lang w:val="en-US" w:eastAsia="en-US"/>
        </w:rPr>
        <w:t xml:space="preserve">№ 1, </w:t>
      </w:r>
      <w:r>
        <w:rPr>
          <w:rStyle w:val="CharStyle13"/>
          <w:u w:val="single"/>
        </w:rPr>
        <w:t xml:space="preserve">д, </w:t>
      </w:r>
      <w:r>
        <w:rPr>
          <w:rStyle w:val="CharStyle13"/>
          <w:u w:val="single"/>
          <w:lang w:val="en-US" w:eastAsia="en-US"/>
        </w:rPr>
        <w:t xml:space="preserve">1, </w:t>
      </w:r>
      <w:r>
        <w:rPr>
          <w:rStyle w:val="CharStyle13"/>
          <w:u w:val="single"/>
        </w:rPr>
        <w:t xml:space="preserve">помещ, </w:t>
      </w:r>
      <w:r>
        <w:rPr>
          <w:rStyle w:val="CharStyle13"/>
          <w:u w:val="single"/>
          <w:lang w:val="en-US" w:eastAsia="en-US"/>
        </w:rPr>
        <w:t xml:space="preserve">276, </w:t>
      </w:r>
      <w:r>
        <w:rPr>
          <w:rStyle w:val="CharStyle13"/>
          <w:u w:val="single"/>
        </w:rPr>
        <w:t>Россия,</w:t>
      </w:r>
      <w:r>
        <w:rPr>
          <w:rStyle w:val="CharStyle13"/>
        </w:rPr>
        <w:t xml:space="preserve"> </w:t>
      </w:r>
      <w:r>
        <w:rPr>
          <w:rStyle w:val="CharStyle13"/>
          <w:lang w:val="en-US" w:eastAsia="en-US"/>
        </w:rPr>
        <w:t>4. Jinan Sysmex Medical Electronics Co., Ltd., No. 7493 Airport Rd, Yaoqiang Tn, Licheng Distr., 250107 Jinan, P.R. China… 5. Sysmex Wuxi Co., Ltd. , #8#9#A3, Science Technology Stand-up Park, No.93, National Hi-Tech Industrial Development Zone, Wuxi, 214028 Jiangsu, P.R. China. 6. Sysmex Asia Pacific Pte Ltd, 19, Jalan Tukang SAMBO, Innovation Building, Singapore 619265, Singapore. 7. Sysmex India Pvt. Ltd., Head Office: Unit No. 05-07, 4th Floor, Newa Bhakti Knowledge City, Plot No. IT06, Airoli Knowledge Park, T.T.C. Indl. Area Airoli, Thane, Navi Mumbai, Maharashtra 400 708, India, 8. Sysmex India Pvt. Ltd., Factory: Village: Malpur, Nalagarh Road, Baddi, Himachal Pradesh 173 205, India. 9. Sysmex India Pvt. Ltd., Plot No. E546 &amp; E547, BOL Engineering Industrial Estate Sanand, Sanand GIDC, Ahmedabad, Gujarat 382 170, India.</w:t>
      </w:r>
    </w:p>
    <w:p>
      <w:pPr>
        <w:pStyle w:val="Style12"/>
        <w:keepNext w:val="0"/>
        <w:keepLines w:val="0"/>
        <w:widowControl w:val="0"/>
        <w:shd w:val="clear" w:color="auto" w:fill="auto"/>
        <w:bidi w:val="0"/>
        <w:spacing w:before="0" w:after="0"/>
        <w:ind w:left="0" w:right="0" w:firstLine="740"/>
        <w:jc w:val="both"/>
      </w:pPr>
      <w:r>
        <w:rPr>
          <w:rStyle w:val="CharStyle13"/>
        </w:rPr>
        <w:t xml:space="preserve">Кроме того, в подтверждение страны происхождения товара была предоставлена выписка из реестра российской промышленной продукции </w:t>
      </w:r>
      <w:r>
        <w:rPr>
          <w:rStyle w:val="CharStyle13"/>
          <w:lang w:val="en-US" w:eastAsia="en-US"/>
        </w:rPr>
        <w:t xml:space="preserve">№10694068. </w:t>
      </w:r>
      <w:r>
        <w:rPr>
          <w:rStyle w:val="CharStyle13"/>
        </w:rPr>
        <w:t xml:space="preserve">Наименование продукции: Реагенты к анализаторам гематологическим автоматическим </w:t>
      </w:r>
      <w:r>
        <w:rPr>
          <w:rStyle w:val="CharStyle13"/>
          <w:lang w:val="en-US" w:eastAsia="en-US"/>
        </w:rPr>
        <w:t xml:space="preserve">КХ-21N, XT-4000i, XS-800i, XS-1000i: </w:t>
      </w:r>
      <w:r>
        <w:rPr>
          <w:rStyle w:val="CharStyle13"/>
        </w:rPr>
        <w:t xml:space="preserve">Лизирующий реагент </w:t>
      </w:r>
      <w:r>
        <w:rPr>
          <w:rStyle w:val="CharStyle13"/>
          <w:lang w:val="en-US" w:eastAsia="en-US"/>
        </w:rPr>
        <w:t xml:space="preserve">(5 </w:t>
      </w:r>
      <w:r>
        <w:rPr>
          <w:rStyle w:val="CharStyle13"/>
        </w:rPr>
        <w:t xml:space="preserve">л) </w:t>
      </w:r>
      <w:r>
        <w:rPr>
          <w:rStyle w:val="CharStyle13"/>
          <w:lang w:val="en-US" w:eastAsia="en-US"/>
        </w:rPr>
        <w:t xml:space="preserve">(SULFOLYSER) (5 1) </w:t>
      </w:r>
      <w:r>
        <w:rPr>
          <w:rStyle w:val="CharStyle13"/>
        </w:rPr>
        <w:t>Наименование юридического лица: ООО «Сисмекс Продакшн РУС».</w:t>
      </w:r>
    </w:p>
    <w:p>
      <w:pPr>
        <w:pStyle w:val="Style12"/>
        <w:keepNext w:val="0"/>
        <w:keepLines w:val="0"/>
        <w:widowControl w:val="0"/>
        <w:shd w:val="clear" w:color="auto" w:fill="auto"/>
        <w:bidi w:val="0"/>
        <w:spacing w:before="0" w:after="0"/>
        <w:ind w:left="0" w:right="0" w:firstLine="740"/>
        <w:jc w:val="both"/>
      </w:pPr>
      <w:r>
        <w:rPr>
          <w:rStyle w:val="CharStyle13"/>
        </w:rPr>
        <w:t xml:space="preserve">Согласно инструкции по применению к РУ Г004-00110- </w:t>
      </w:r>
      <w:r>
        <w:rPr>
          <w:rStyle w:val="CharStyle13"/>
          <w:lang w:val="en-US" w:eastAsia="en-US"/>
        </w:rPr>
        <w:t xml:space="preserve">00/04739558: </w:t>
      </w:r>
      <w:r>
        <w:rPr>
          <w:rStyle w:val="CharStyle13"/>
        </w:rPr>
        <w:t xml:space="preserve">Лизирующий реагент </w:t>
      </w:r>
      <w:r>
        <w:rPr>
          <w:rStyle w:val="CharStyle13"/>
          <w:lang w:val="en-US" w:eastAsia="en-US"/>
        </w:rPr>
        <w:t xml:space="preserve">Sulfolyser </w:t>
      </w:r>
      <w:r>
        <w:rPr>
          <w:rStyle w:val="CharStyle13"/>
        </w:rPr>
        <w:t>(5л), в составе:</w:t>
      </w:r>
    </w:p>
    <w:p>
      <w:pPr>
        <w:pStyle w:val="Style12"/>
        <w:keepNext w:val="0"/>
        <w:keepLines w:val="0"/>
        <w:widowControl w:val="0"/>
        <w:numPr>
          <w:ilvl w:val="0"/>
          <w:numId w:val="11"/>
        </w:numPr>
        <w:shd w:val="clear" w:color="auto" w:fill="auto"/>
        <w:tabs>
          <w:tab w:pos="1638" w:val="left"/>
        </w:tabs>
        <w:bidi w:val="0"/>
        <w:spacing w:before="0" w:after="0"/>
        <w:ind w:left="0" w:right="0" w:firstLine="740"/>
        <w:jc w:val="both"/>
      </w:pPr>
      <w:r>
        <w:rPr>
          <w:rStyle w:val="CharStyle13"/>
        </w:rPr>
        <w:t xml:space="preserve">Лизирующий реагент </w:t>
      </w:r>
      <w:r>
        <w:rPr>
          <w:rStyle w:val="CharStyle13"/>
          <w:u w:val="single"/>
          <w:lang w:val="en-US" w:eastAsia="en-US"/>
        </w:rPr>
        <w:t>Sulfolyser</w:t>
      </w:r>
      <w:r>
        <w:rPr>
          <w:rStyle w:val="CharStyle13"/>
          <w:lang w:val="en-US" w:eastAsia="en-US"/>
        </w:rPr>
        <w:t xml:space="preserve">, 1 </w:t>
      </w:r>
      <w:r>
        <w:rPr>
          <w:rStyle w:val="CharStyle13"/>
        </w:rPr>
        <w:t xml:space="preserve">бутыль объёмом </w:t>
      </w:r>
      <w:r>
        <w:rPr>
          <w:rStyle w:val="CharStyle13"/>
          <w:lang w:val="en-US" w:eastAsia="en-US"/>
        </w:rPr>
        <w:t xml:space="preserve">5 </w:t>
      </w:r>
      <w:r>
        <w:rPr>
          <w:rStyle w:val="CharStyle13"/>
        </w:rPr>
        <w:t xml:space="preserve">л </w:t>
      </w:r>
      <w:r>
        <w:rPr>
          <w:rStyle w:val="CharStyle13"/>
          <w:lang w:val="en-US" w:eastAsia="en-US"/>
        </w:rPr>
        <w:t xml:space="preserve">/ </w:t>
      </w:r>
      <w:r>
        <w:rPr>
          <w:rStyle w:val="CharStyle13"/>
        </w:rPr>
        <w:t>уп.</w:t>
      </w:r>
    </w:p>
    <w:p>
      <w:pPr>
        <w:pStyle w:val="Style12"/>
        <w:keepNext w:val="0"/>
        <w:keepLines w:val="0"/>
        <w:widowControl w:val="0"/>
        <w:numPr>
          <w:ilvl w:val="0"/>
          <w:numId w:val="11"/>
        </w:numPr>
        <w:shd w:val="clear" w:color="auto" w:fill="auto"/>
        <w:tabs>
          <w:tab w:pos="1638" w:val="left"/>
        </w:tabs>
        <w:bidi w:val="0"/>
        <w:spacing w:before="0" w:after="0"/>
        <w:ind w:left="0" w:right="0" w:firstLine="740"/>
        <w:jc w:val="both"/>
      </w:pPr>
      <w:r>
        <w:rPr>
          <w:rStyle w:val="CharStyle13"/>
        </w:rPr>
        <w:t>Инструкция по применению.</w:t>
      </w:r>
    </w:p>
    <w:p>
      <w:pPr>
        <w:pStyle w:val="Style12"/>
        <w:keepNext w:val="0"/>
        <w:keepLines w:val="0"/>
        <w:widowControl w:val="0"/>
        <w:shd w:val="clear" w:color="auto" w:fill="auto"/>
        <w:bidi w:val="0"/>
        <w:spacing w:before="0" w:after="0"/>
        <w:ind w:left="0" w:right="0" w:firstLine="740"/>
        <w:jc w:val="both"/>
      </w:pPr>
      <w:r>
        <w:rPr>
          <w:rStyle w:val="CharStyle13"/>
        </w:rPr>
        <w:t xml:space="preserve">Согласно назначения реагент применяется совместно с автоматическими гематологическими анализаторами </w:t>
      </w:r>
      <w:r>
        <w:rPr>
          <w:rStyle w:val="CharStyle13"/>
          <w:lang w:val="en-US" w:eastAsia="en-US"/>
        </w:rPr>
        <w:t xml:space="preserve">Sysmex </w:t>
      </w:r>
      <w:r>
        <w:rPr>
          <w:rStyle w:val="CharStyle13"/>
        </w:rPr>
        <w:t>согласно спецификации на оборудование и является неотъемлемой частью единой аналитической системы прибора.</w:t>
      </w:r>
    </w:p>
    <w:p>
      <w:pPr>
        <w:pStyle w:val="Style12"/>
        <w:keepNext w:val="0"/>
        <w:keepLines w:val="0"/>
        <w:widowControl w:val="0"/>
        <w:shd w:val="clear" w:color="auto" w:fill="auto"/>
        <w:bidi w:val="0"/>
        <w:spacing w:before="0" w:after="0"/>
        <w:ind w:left="0" w:right="0" w:firstLine="740"/>
        <w:jc w:val="both"/>
      </w:pPr>
      <w:r>
        <w:rPr>
          <w:rStyle w:val="CharStyle13"/>
        </w:rPr>
        <w:t>Место производства: ООО «Сисмекс Продакшн РУС».</w:t>
      </w:r>
    </w:p>
    <w:p>
      <w:pPr>
        <w:pStyle w:val="Style12"/>
        <w:keepNext w:val="0"/>
        <w:keepLines w:val="0"/>
        <w:widowControl w:val="0"/>
        <w:shd w:val="clear" w:color="auto" w:fill="auto"/>
        <w:bidi w:val="0"/>
        <w:spacing w:before="0" w:after="0"/>
        <w:ind w:left="0" w:right="0" w:firstLine="740"/>
        <w:jc w:val="both"/>
      </w:pPr>
      <w:r>
        <w:rPr>
          <w:rStyle w:val="CharStyle13"/>
        </w:rPr>
        <w:t xml:space="preserve">Согласно выписке из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по регистрационному номеру Г004-00110-00/04739558 указано: «Лизирующий реагент для гематологического оборудования </w:t>
      </w:r>
      <w:r>
        <w:rPr>
          <w:rStyle w:val="CharStyle13"/>
          <w:lang w:val="en-US" w:eastAsia="en-US"/>
        </w:rPr>
        <w:t xml:space="preserve">Sysmeх </w:t>
      </w:r>
      <w:r>
        <w:rPr>
          <w:rStyle w:val="CharStyle13"/>
        </w:rPr>
        <w:t xml:space="preserve">серий </w:t>
      </w:r>
      <w:r>
        <w:rPr>
          <w:rStyle w:val="CharStyle13"/>
          <w:u w:val="single"/>
          <w:lang w:val="en-US" w:eastAsia="en-US"/>
        </w:rPr>
        <w:t>XN, XR, XN-L, XP-300, XQ</w:t>
      </w:r>
      <w:r>
        <w:rPr>
          <w:rStyle w:val="CharStyle13"/>
          <w:lang w:val="en-US" w:eastAsia="en-US"/>
        </w:rPr>
        <w:t xml:space="preserve"> </w:t>
      </w:r>
      <w:r>
        <w:rPr>
          <w:rStyle w:val="CharStyle13"/>
        </w:rPr>
        <w:t xml:space="preserve">для диагностики </w:t>
      </w:r>
      <w:r>
        <w:rPr>
          <w:rStyle w:val="CharStyle13"/>
          <w:lang w:val="en-US" w:eastAsia="en-US"/>
        </w:rPr>
        <w:t xml:space="preserve">in vitro». </w:t>
      </w:r>
      <w:r>
        <w:rPr>
          <w:rStyle w:val="CharStyle13"/>
        </w:rPr>
        <w:t xml:space="preserve">В данной выписке отсутствуют серии </w:t>
      </w:r>
      <w:r>
        <w:rPr>
          <w:rStyle w:val="CharStyle13"/>
          <w:u w:val="single"/>
          <w:lang w:val="en-US" w:eastAsia="en-US"/>
        </w:rPr>
        <w:t>XT, XS,XP</w:t>
      </w:r>
      <w:r>
        <w:rPr>
          <w:rStyle w:val="CharStyle13"/>
          <w:lang w:val="en-US" w:eastAsia="en-US"/>
        </w:rPr>
        <w:t>.</w:t>
      </w:r>
    </w:p>
    <w:p>
      <w:pPr>
        <w:pStyle w:val="Style12"/>
        <w:keepNext w:val="0"/>
        <w:keepLines w:val="0"/>
        <w:widowControl w:val="0"/>
        <w:shd w:val="clear" w:color="auto" w:fill="auto"/>
        <w:bidi w:val="0"/>
        <w:spacing w:before="0" w:after="0"/>
        <w:ind w:left="0" w:right="0" w:firstLine="740"/>
        <w:jc w:val="both"/>
      </w:pPr>
      <w:r>
        <w:rPr>
          <w:rStyle w:val="CharStyle13"/>
        </w:rPr>
        <w:t xml:space="preserve">Однако согласно главе </w:t>
      </w:r>
      <w:r>
        <w:rPr>
          <w:rStyle w:val="CharStyle13"/>
          <w:lang w:val="en-US" w:eastAsia="en-US"/>
        </w:rPr>
        <w:t xml:space="preserve">5 </w:t>
      </w:r>
      <w:r>
        <w:rPr>
          <w:rStyle w:val="CharStyle13"/>
        </w:rPr>
        <w:t xml:space="preserve">«Реагенты» пункта </w:t>
      </w:r>
      <w:r>
        <w:rPr>
          <w:rStyle w:val="CharStyle13"/>
          <w:lang w:val="en-US" w:eastAsia="en-US"/>
        </w:rPr>
        <w:t xml:space="preserve">5.5. «SULFOLYSER» </w:t>
      </w:r>
      <w:r>
        <w:rPr>
          <w:rStyle w:val="CharStyle13"/>
        </w:rPr>
        <w:t xml:space="preserve">инструкции, размещенной на официальном сайте Росздравнадзора, Анализатора гематологический </w:t>
      </w:r>
      <w:r>
        <w:rPr>
          <w:rStyle w:val="CharStyle13"/>
          <w:lang w:val="en-US" w:eastAsia="en-US"/>
        </w:rPr>
        <w:t xml:space="preserve">XN </w:t>
      </w:r>
      <w:r>
        <w:rPr>
          <w:rStyle w:val="CharStyle13"/>
        </w:rPr>
        <w:t xml:space="preserve">(ФСЗ </w:t>
      </w:r>
      <w:r>
        <w:rPr>
          <w:rStyle w:val="CharStyle13"/>
          <w:lang w:val="en-US" w:eastAsia="en-US"/>
        </w:rPr>
        <w:t xml:space="preserve">2012/12754) </w:t>
      </w:r>
      <w:r>
        <w:rPr>
          <w:rStyle w:val="CharStyle13"/>
          <w:u w:val="single"/>
          <w:lang w:val="en-US" w:eastAsia="en-US"/>
        </w:rPr>
        <w:t xml:space="preserve">SULFOLYSER </w:t>
      </w:r>
      <w:r>
        <w:rPr>
          <w:rStyle w:val="CharStyle13"/>
          <w:u w:val="single"/>
        </w:rPr>
        <w:t xml:space="preserve">используется со всеми автоматическими гематологическими анализаторами </w:t>
      </w:r>
      <w:r>
        <w:rPr>
          <w:rStyle w:val="CharStyle13"/>
          <w:u w:val="single"/>
          <w:lang w:val="en-US" w:eastAsia="en-US"/>
        </w:rPr>
        <w:t>Sysmex</w:t>
      </w:r>
      <w:r>
        <w:rPr>
          <w:rStyle w:val="CharStyle13"/>
          <w:lang w:val="en-US" w:eastAsia="en-US"/>
        </w:rPr>
        <w:t xml:space="preserve">, </w:t>
      </w:r>
      <w:r>
        <w:rPr>
          <w:rStyle w:val="CharStyle13"/>
        </w:rPr>
        <w:t xml:space="preserve">в связи с чем, Комиссия Управления приходит к выводу, что Лизирующий реагент </w:t>
      </w:r>
      <w:r>
        <w:rPr>
          <w:rStyle w:val="CharStyle13"/>
          <w:lang w:val="en-US" w:eastAsia="en-US"/>
        </w:rPr>
        <w:t xml:space="preserve">SULFOLYSER </w:t>
      </w:r>
      <w:r>
        <w:rPr>
          <w:rStyle w:val="CharStyle13"/>
        </w:rPr>
        <w:t xml:space="preserve">для гематологического оборудования </w:t>
      </w:r>
      <w:r>
        <w:rPr>
          <w:rStyle w:val="CharStyle13"/>
          <w:lang w:val="en-US" w:eastAsia="en-US"/>
        </w:rPr>
        <w:t xml:space="preserve">Sysmex </w:t>
      </w:r>
      <w:r>
        <w:rPr>
          <w:rStyle w:val="CharStyle13"/>
        </w:rPr>
        <w:t xml:space="preserve">подходит для всех серий, а именно </w:t>
      </w:r>
      <w:r>
        <w:rPr>
          <w:rStyle w:val="CharStyle13"/>
          <w:lang w:val="en-US" w:eastAsia="en-US"/>
        </w:rPr>
        <w:t>XN, XN-L, XT, XS, XP.</w:t>
      </w:r>
    </w:p>
    <w:p>
      <w:pPr>
        <w:pStyle w:val="Style12"/>
        <w:keepNext w:val="0"/>
        <w:keepLines w:val="0"/>
        <w:widowControl w:val="0"/>
        <w:shd w:val="clear" w:color="auto" w:fill="auto"/>
        <w:bidi w:val="0"/>
        <w:spacing w:before="0" w:after="0"/>
        <w:ind w:left="0" w:right="0" w:firstLine="740"/>
        <w:jc w:val="both"/>
      </w:pPr>
      <w:r>
        <w:rPr>
          <w:rStyle w:val="CharStyle13"/>
        </w:rPr>
        <w:t>В подтверждении того, что у Заказчика имеется оборудование в наличии были предоставлены следующие документы:</w:t>
      </w:r>
    </w:p>
    <w:p>
      <w:pPr>
        <w:pStyle w:val="Style12"/>
        <w:keepNext w:val="0"/>
        <w:keepLines w:val="0"/>
        <w:widowControl w:val="0"/>
        <w:numPr>
          <w:ilvl w:val="0"/>
          <w:numId w:val="13"/>
        </w:numPr>
        <w:shd w:val="clear" w:color="auto" w:fill="auto"/>
        <w:tabs>
          <w:tab w:pos="1047" w:val="left"/>
        </w:tabs>
        <w:bidi w:val="0"/>
        <w:spacing w:before="0" w:after="0"/>
        <w:ind w:left="0" w:right="0" w:firstLine="740"/>
        <w:jc w:val="both"/>
      </w:pPr>
      <w:r>
        <w:rPr>
          <w:rStyle w:val="CharStyle13"/>
        </w:rPr>
        <w:t xml:space="preserve">Договор безмозмездного пользования оборудованием </w:t>
      </w:r>
      <w:r>
        <w:rPr>
          <w:rStyle w:val="CharStyle13"/>
          <w:lang w:val="en-US" w:eastAsia="en-US"/>
        </w:rPr>
        <w:t xml:space="preserve">№ </w:t>
      </w:r>
      <w:r>
        <w:rPr>
          <w:rStyle w:val="CharStyle13"/>
        </w:rPr>
        <w:t xml:space="preserve">ЛИ-42/11/2020 на Ананлизатор гематологический серии </w:t>
      </w:r>
      <w:r>
        <w:rPr>
          <w:rStyle w:val="CharStyle13"/>
          <w:lang w:val="en-US" w:eastAsia="en-US"/>
        </w:rPr>
        <w:t>XN;</w:t>
      </w:r>
    </w:p>
    <w:p>
      <w:pPr>
        <w:pStyle w:val="Style12"/>
        <w:keepNext w:val="0"/>
        <w:keepLines w:val="0"/>
        <w:widowControl w:val="0"/>
        <w:numPr>
          <w:ilvl w:val="0"/>
          <w:numId w:val="13"/>
        </w:numPr>
        <w:shd w:val="clear" w:color="auto" w:fill="auto"/>
        <w:tabs>
          <w:tab w:pos="1638" w:val="left"/>
        </w:tabs>
        <w:bidi w:val="0"/>
        <w:spacing w:before="0" w:after="0"/>
        <w:ind w:left="0" w:right="0" w:firstLine="740"/>
        <w:jc w:val="both"/>
      </w:pPr>
      <w:r>
        <w:rPr>
          <w:rStyle w:val="CharStyle13"/>
        </w:rPr>
        <w:t xml:space="preserve">Договор безмозмездного пользования оборудования </w:t>
      </w:r>
      <w:r>
        <w:rPr>
          <w:rStyle w:val="CharStyle13"/>
          <w:lang w:val="en-US" w:eastAsia="en-US"/>
        </w:rPr>
        <w:t xml:space="preserve">№ </w:t>
      </w:r>
      <w:r>
        <w:rPr>
          <w:rStyle w:val="CharStyle13"/>
        </w:rPr>
        <w:t>040-БП/16 на Анализатор</w:t>
      </w:r>
      <w:r>
        <w:br w:type="page"/>
      </w:r>
    </w:p>
    <w:p>
      <w:pPr>
        <w:pStyle w:val="Style12"/>
        <w:keepNext w:val="0"/>
        <w:keepLines w:val="0"/>
        <w:widowControl w:val="0"/>
        <w:shd w:val="clear" w:color="auto" w:fill="auto"/>
        <w:bidi w:val="0"/>
        <w:spacing w:before="0" w:after="0"/>
        <w:ind w:left="0" w:right="0" w:firstLine="0"/>
        <w:jc w:val="both"/>
      </w:pPr>
      <w:r>
        <w:rPr>
          <w:rStyle w:val="CharStyle13"/>
        </w:rPr>
        <w:t xml:space="preserve">гематологический </w:t>
      </w:r>
      <w:r>
        <w:rPr>
          <w:rStyle w:val="CharStyle13"/>
          <w:lang w:val="en-US" w:eastAsia="en-US"/>
        </w:rPr>
        <w:t>XN-1000;</w:t>
      </w:r>
    </w:p>
    <w:p>
      <w:pPr>
        <w:pStyle w:val="Style12"/>
        <w:keepNext w:val="0"/>
        <w:keepLines w:val="0"/>
        <w:widowControl w:val="0"/>
        <w:numPr>
          <w:ilvl w:val="0"/>
          <w:numId w:val="13"/>
        </w:numPr>
        <w:shd w:val="clear" w:color="auto" w:fill="auto"/>
        <w:tabs>
          <w:tab w:pos="1097" w:val="left"/>
        </w:tabs>
        <w:bidi w:val="0"/>
        <w:spacing w:before="0" w:after="0"/>
        <w:ind w:left="0" w:right="0" w:firstLine="740"/>
        <w:jc w:val="both"/>
      </w:pPr>
      <w:r>
        <w:rPr>
          <w:rStyle w:val="CharStyle13"/>
        </w:rPr>
        <w:t xml:space="preserve">Инвентарные карточки </w:t>
      </w:r>
      <w:r>
        <w:rPr>
          <w:rStyle w:val="CharStyle13"/>
          <w:lang w:val="en-US" w:eastAsia="en-US"/>
        </w:rPr>
        <w:t xml:space="preserve">№ 9184, 9185 </w:t>
      </w:r>
      <w:r>
        <w:rPr>
          <w:rStyle w:val="CharStyle13"/>
        </w:rPr>
        <w:t xml:space="preserve">о принятии объекта к учету Гематологического анализатора </w:t>
      </w:r>
      <w:r>
        <w:rPr>
          <w:rStyle w:val="CharStyle13"/>
          <w:lang w:val="en-US" w:eastAsia="en-US"/>
        </w:rPr>
        <w:t>XS-1000i;</w:t>
      </w:r>
    </w:p>
    <w:p>
      <w:pPr>
        <w:pStyle w:val="Style12"/>
        <w:keepNext w:val="0"/>
        <w:keepLines w:val="0"/>
        <w:widowControl w:val="0"/>
        <w:shd w:val="clear" w:color="auto" w:fill="auto"/>
        <w:bidi w:val="0"/>
        <w:spacing w:before="0" w:after="0"/>
        <w:ind w:left="0" w:right="0" w:firstLine="740"/>
        <w:jc w:val="both"/>
      </w:pPr>
      <w:r>
        <w:rPr>
          <w:rStyle w:val="CharStyle13"/>
        </w:rPr>
        <w:t xml:space="preserve">Таким образом, Участник </w:t>
      </w:r>
      <w:r>
        <w:rPr>
          <w:rStyle w:val="CharStyle13"/>
          <w:lang w:val="en-US" w:eastAsia="en-US"/>
        </w:rPr>
        <w:t xml:space="preserve">(121065956) </w:t>
      </w:r>
      <w:r>
        <w:rPr>
          <w:rStyle w:val="CharStyle13"/>
        </w:rPr>
        <w:t xml:space="preserve">по позиции </w:t>
      </w:r>
      <w:r>
        <w:rPr>
          <w:rStyle w:val="CharStyle13"/>
          <w:lang w:val="en-US" w:eastAsia="en-US"/>
        </w:rPr>
        <w:t xml:space="preserve">1 </w:t>
      </w:r>
      <w:r>
        <w:rPr>
          <w:rStyle w:val="CharStyle13"/>
        </w:rPr>
        <w:t>подтвердил страну происхождения товара Российская Федерация, в отношении которого установлено ограничение закупок товаров, происходящих из иностранных государств, и заявка участника правомерно признана Комиссией по осуществлению закупки соответствующей, в связи с чем, довод заявителя является необоснованным.</w:t>
      </w:r>
    </w:p>
    <w:p>
      <w:pPr>
        <w:pStyle w:val="Style12"/>
        <w:keepNext w:val="0"/>
        <w:keepLines w:val="0"/>
        <w:widowControl w:val="0"/>
        <w:shd w:val="clear" w:color="auto" w:fill="auto"/>
        <w:bidi w:val="0"/>
        <w:spacing w:before="0" w:after="280"/>
        <w:ind w:left="0" w:right="0" w:firstLine="740"/>
        <w:jc w:val="both"/>
      </w:pPr>
      <w:r>
        <w:rPr>
          <w:rStyle w:val="CharStyle13"/>
        </w:rPr>
        <w:t xml:space="preserve">Рассмотрев материалы дела, изучив представленные документы представителей сторон, руководствуясь положениями статьи </w:t>
      </w:r>
      <w:r>
        <w:rPr>
          <w:rStyle w:val="CharStyle13"/>
          <w:lang w:val="en-US" w:eastAsia="en-US"/>
        </w:rPr>
        <w:t xml:space="preserve">106 </w:t>
      </w:r>
      <w:r>
        <w:rPr>
          <w:rStyle w:val="CharStyle13"/>
        </w:rPr>
        <w:t>Закона о контрактной системе, Комиссия Управления</w:t>
      </w:r>
    </w:p>
    <w:p>
      <w:pPr>
        <w:pStyle w:val="Style17"/>
        <w:keepNext/>
        <w:keepLines/>
        <w:widowControl w:val="0"/>
        <w:shd w:val="clear" w:color="auto" w:fill="auto"/>
        <w:bidi w:val="0"/>
        <w:spacing w:before="0" w:after="280"/>
        <w:ind w:left="0" w:right="0" w:firstLine="0"/>
        <w:jc w:val="center"/>
      </w:pPr>
      <w:bookmarkStart w:id="10" w:name="bookmark10"/>
      <w:r>
        <w:rPr>
          <w:rStyle w:val="CharStyle18"/>
          <w:b/>
          <w:bCs/>
        </w:rPr>
        <w:t>РЕШИЛА:</w:t>
      </w:r>
      <w:bookmarkEnd w:id="10"/>
    </w:p>
    <w:p>
      <w:pPr>
        <w:pStyle w:val="Style12"/>
        <w:keepNext w:val="0"/>
        <w:keepLines w:val="0"/>
        <w:widowControl w:val="0"/>
        <w:numPr>
          <w:ilvl w:val="0"/>
          <w:numId w:val="15"/>
        </w:numPr>
        <w:shd w:val="clear" w:color="auto" w:fill="auto"/>
        <w:tabs>
          <w:tab w:pos="1092" w:val="left"/>
        </w:tabs>
        <w:bidi w:val="0"/>
        <w:spacing w:before="0" w:after="0"/>
        <w:ind w:left="0" w:right="0" w:firstLine="740"/>
        <w:jc w:val="both"/>
      </w:pPr>
      <w:r>
        <w:rPr>
          <w:rStyle w:val="CharStyle13"/>
        </w:rPr>
        <w:t xml:space="preserve">Признать жалобу ООО «Пауэр Фарм» (ИНН: </w:t>
      </w:r>
      <w:r>
        <w:rPr>
          <w:rStyle w:val="CharStyle13"/>
          <w:lang w:val="en-US" w:eastAsia="en-US"/>
        </w:rPr>
        <w:t xml:space="preserve">7734417680) </w:t>
      </w:r>
      <w:r>
        <w:rPr>
          <w:rStyle w:val="CharStyle13"/>
        </w:rPr>
        <w:t xml:space="preserve">от </w:t>
      </w:r>
      <w:r>
        <w:rPr>
          <w:rStyle w:val="CharStyle13"/>
          <w:lang w:val="en-US" w:eastAsia="en-US"/>
        </w:rPr>
        <w:t xml:space="preserve">29.04.2026 № 4772/26, </w:t>
      </w:r>
      <w:r>
        <w:rPr>
          <w:rStyle w:val="CharStyle13"/>
        </w:rPr>
        <w:t xml:space="preserve">на действия Заказчика </w:t>
      </w:r>
      <w:r>
        <w:rPr>
          <w:rStyle w:val="CharStyle13"/>
          <w:lang w:val="en-US" w:eastAsia="en-US"/>
        </w:rPr>
        <w:t xml:space="preserve">- </w:t>
      </w:r>
      <w:r>
        <w:rPr>
          <w:rStyle w:val="CharStyle13"/>
        </w:rPr>
        <w:t xml:space="preserve">Бюджетного учреждения Ханты-Мансийского автономного округа </w:t>
      </w:r>
      <w:r>
        <w:rPr>
          <w:rStyle w:val="CharStyle13"/>
          <w:lang w:val="en-US" w:eastAsia="en-US"/>
        </w:rPr>
        <w:t xml:space="preserve">— </w:t>
      </w:r>
      <w:r>
        <w:rPr>
          <w:rStyle w:val="CharStyle13"/>
        </w:rPr>
        <w:t xml:space="preserve">Югры «Сургутская окружная клиническая больница», при проведении электронного аукциона, предметом которого является поставка реагентов и растворов, совместимых с гематологическими анализаторами </w:t>
      </w:r>
      <w:r>
        <w:rPr>
          <w:rStyle w:val="CharStyle13"/>
          <w:lang w:val="en-US" w:eastAsia="en-US"/>
        </w:rPr>
        <w:t xml:space="preserve">Sysmex XN - 1000, XS 1000 </w:t>
      </w:r>
      <w:r>
        <w:rPr>
          <w:rStyle w:val="CharStyle13"/>
        </w:rPr>
        <w:t xml:space="preserve">используемыми Заказчиком (извещение </w:t>
      </w:r>
      <w:r>
        <w:rPr>
          <w:rStyle w:val="CharStyle13"/>
          <w:lang w:val="en-US" w:eastAsia="en-US"/>
        </w:rPr>
        <w:t xml:space="preserve">№ 0387200000926000298) </w:t>
      </w:r>
      <w:r>
        <w:rPr>
          <w:rStyle w:val="CharStyle13"/>
        </w:rPr>
        <w:t>необоснованной.</w:t>
      </w:r>
    </w:p>
    <w:p>
      <w:pPr>
        <w:pStyle w:val="Style12"/>
        <w:keepNext w:val="0"/>
        <w:keepLines w:val="0"/>
        <w:widowControl w:val="0"/>
        <w:numPr>
          <w:ilvl w:val="0"/>
          <w:numId w:val="15"/>
        </w:numPr>
        <w:shd w:val="clear" w:color="auto" w:fill="auto"/>
        <w:tabs>
          <w:tab w:pos="1724" w:val="left"/>
        </w:tabs>
        <w:bidi w:val="0"/>
        <w:spacing w:before="0" w:after="0"/>
        <w:ind w:left="0" w:right="0" w:firstLine="740"/>
        <w:jc w:val="both"/>
      </w:pPr>
      <w:r>
        <w:rPr>
          <w:rStyle w:val="CharStyle13"/>
        </w:rPr>
        <w:t>Предписание не выдавать.</w:t>
      </w:r>
    </w:p>
    <w:p>
      <w:pPr>
        <w:pStyle w:val="Style12"/>
        <w:keepNext w:val="0"/>
        <w:keepLines w:val="0"/>
        <w:widowControl w:val="0"/>
        <w:numPr>
          <w:ilvl w:val="0"/>
          <w:numId w:val="15"/>
        </w:numPr>
        <w:shd w:val="clear" w:color="auto" w:fill="auto"/>
        <w:tabs>
          <w:tab w:pos="1097" w:val="left"/>
        </w:tabs>
        <w:bidi w:val="0"/>
        <w:spacing w:before="0" w:after="0"/>
        <w:ind w:left="0" w:right="0" w:firstLine="740"/>
        <w:jc w:val="both"/>
      </w:pPr>
      <w:r>
        <w:rPr>
          <w:rStyle w:val="CharStyle13"/>
        </w:rPr>
        <w:t xml:space="preserve">Направить данное решение сторонам и опубликовать на официальном сайте единой информационной системы в сфере закупок </w:t>
      </w:r>
      <w:r>
        <w:rPr>
          <w:rStyle w:val="CharStyle13"/>
          <w:lang w:val="en-US" w:eastAsia="en-US"/>
        </w:rPr>
        <w:t>(</w:t>
      </w:r>
      <w:r>
        <w:fldChar w:fldCharType="begin"/>
      </w:r>
      <w:r>
        <w:rPr/>
        <w:instrText> HYPERLINK "http://www.zakupki.gov.ru" </w:instrText>
      </w:r>
      <w:r>
        <w:fldChar w:fldCharType="separate"/>
      </w:r>
      <w:r>
        <w:rPr>
          <w:rStyle w:val="CharStyle13"/>
          <w:lang w:val="en-US" w:eastAsia="en-US"/>
        </w:rPr>
        <w:t>www.zakupki.gov.ru</w:t>
      </w:r>
      <w:r>
        <w:fldChar w:fldCharType="end"/>
      </w:r>
      <w:r>
        <w:rPr>
          <w:rStyle w:val="CharStyle13"/>
          <w:lang w:val="en-US" w:eastAsia="en-US"/>
        </w:rPr>
        <w:t>).</w:t>
      </w:r>
    </w:p>
    <w:p>
      <w:pPr>
        <w:widowControl w:val="0"/>
        <w:spacing w:line="1" w:lineRule="exact"/>
        <w:sectPr>
          <w:footerReference w:type="default" r:id="rId7"/>
          <w:footerReference w:type="first" r:id="rId8"/>
          <w:footnotePr>
            <w:pos w:val="pageBottom"/>
            <w:numFmt w:val="decimal"/>
            <w:numRestart w:val="continuous"/>
          </w:footnotePr>
          <w:pgSz w:w="11900" w:h="16840"/>
          <w:pgMar w:top="1046" w:right="536" w:bottom="1189" w:left="1106" w:header="0" w:footer="3" w:gutter="0"/>
          <w:pgNumType w:start="1"/>
          <w:cols w:space="720"/>
          <w:noEndnote/>
          <w:titlePg/>
          <w:rtlGutter w:val="0"/>
          <w:docGrid w:linePitch="360"/>
        </w:sectPr>
      </w:pPr>
      <w:r>
        <mc:AlternateContent>
          <mc:Choice Requires="wps">
            <w:drawing>
              <wp:anchor distT="520700" distB="374650" distL="0" distR="0" simplePos="0" relativeHeight="125829383" behindDoc="0" locked="0" layoutInCell="1" allowOverlap="1">
                <wp:simplePos x="0" y="0"/>
                <wp:positionH relativeFrom="page">
                  <wp:posOffset>739140</wp:posOffset>
                </wp:positionH>
                <wp:positionV relativeFrom="paragraph">
                  <wp:posOffset>520700</wp:posOffset>
                </wp:positionV>
                <wp:extent cx="1569720" cy="216535"/>
                <wp:wrapTopAndBottom/>
                <wp:docPr id="11" name="Shape 11"/>
                <a:graphic xmlns:a="http://schemas.openxmlformats.org/drawingml/2006/main">
                  <a:graphicData uri="http://schemas.microsoft.com/office/word/2010/wordprocessingShape">
                    <wps:wsp>
                      <wps:cNvSpPr txBox="1"/>
                      <wps:spPr>
                        <a:xfrm>
                          <a:ext cx="1569720"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8.200000000000003pt;margin-top:41.pt;width:123.60000000000001pt;height:17.050000000000001pt;z-index:-125829370;mso-wrap-distance-left:0;mso-wrap-distance-top:41.pt;mso-wrap-distance-right:0;mso-wrap-distance-bottom:29.5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Председатель комиссии</w:t>
                      </w:r>
                    </w:p>
                  </w:txbxContent>
                </v:textbox>
                <w10:wrap type="topAndBottom" anchorx="page"/>
              </v:shape>
            </w:pict>
          </mc:Fallback>
        </mc:AlternateContent>
      </w:r>
      <w:r>
        <w:drawing>
          <wp:anchor distT="590550" distB="0" distL="0" distR="1786255" simplePos="0" relativeHeight="125829385" behindDoc="0" locked="0" layoutInCell="1" allowOverlap="1">
            <wp:simplePos x="0" y="0"/>
            <wp:positionH relativeFrom="page">
              <wp:posOffset>2656205</wp:posOffset>
            </wp:positionH>
            <wp:positionV relativeFrom="paragraph">
              <wp:posOffset>590550</wp:posOffset>
            </wp:positionV>
            <wp:extent cx="359410" cy="52451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3116580</wp:posOffset>
                </wp:positionH>
                <wp:positionV relativeFrom="paragraph">
                  <wp:posOffset>995680</wp:posOffset>
                </wp:positionV>
                <wp:extent cx="1283335" cy="100330"/>
                <wp:wrapNone/>
                <wp:docPr id="15" name="Shape 1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45.40000000000001pt;margin-top:78.400000000000006pt;width:101.05pt;height:7.9000000000000004pt;z-index:251657729;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3076575</wp:posOffset>
                </wp:positionH>
                <wp:positionV relativeFrom="paragraph">
                  <wp:posOffset>678815</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2.25pt;margin-top:53.450000000000003pt;width:135.59999999999999pt;height:20.400000000000002pt;z-index:251657731;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20700" distB="374650" distL="0" distR="0" simplePos="0" relativeHeight="125829386" behindDoc="0" locked="0" layoutInCell="1" allowOverlap="1">
                <wp:simplePos x="0" y="0"/>
                <wp:positionH relativeFrom="page">
                  <wp:posOffset>6384290</wp:posOffset>
                </wp:positionH>
                <wp:positionV relativeFrom="paragraph">
                  <wp:posOffset>520700</wp:posOffset>
                </wp:positionV>
                <wp:extent cx="801370" cy="216535"/>
                <wp:wrapTopAndBottom/>
                <wp:docPr id="19" name="Shape 19"/>
                <a:graphic xmlns:a="http://schemas.openxmlformats.org/drawingml/2006/main">
                  <a:graphicData uri="http://schemas.microsoft.com/office/word/2010/wordprocessingShape">
                    <wps:wsp>
                      <wps:cNvSpPr txBox="1"/>
                      <wps:spPr>
                        <a:xfrm>
                          <a:ext cx="801370"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center"/>
                            </w:pPr>
                            <w:r>
                              <w:rPr>
                                <w:rStyle w:val="CharStyle13"/>
                              </w:rPr>
                              <w:t>С.А. Бочков</w:t>
                            </w:r>
                          </w:p>
                        </w:txbxContent>
                      </wps:txbx>
                      <wps:bodyPr wrap="none" lIns="0" tIns="0" rIns="0" bIns="0">
                        <a:noAutoFit/>
                      </wps:bodyPr>
                    </wps:wsp>
                  </a:graphicData>
                </a:graphic>
              </wp:anchor>
            </w:drawing>
          </mc:Choice>
          <mc:Fallback>
            <w:pict>
              <v:shape id="_x0000_s1045" type="#_x0000_t202" style="position:absolute;margin-left:502.69999999999999pt;margin-top:41.pt;width:63.100000000000001pt;height:17.050000000000001pt;z-index:-125829367;mso-wrap-distance-left:0;mso-wrap-distance-top:41.pt;mso-wrap-distance-right:0;mso-wrap-distance-bottom:29.5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center"/>
                      </w:pPr>
                      <w:r>
                        <w:rPr>
                          <w:rStyle w:val="CharStyle13"/>
                        </w:rPr>
                        <w:t>С.А. Бочков</w:t>
                      </w:r>
                    </w:p>
                  </w:txbxContent>
                </v:textbox>
                <w10:wrap type="topAndBottom" anchorx="page"/>
              </v:shape>
            </w:pict>
          </mc:Fallback>
        </mc:AlternateContent>
      </w:r>
    </w:p>
    <w:p>
      <w:pPr>
        <w:pStyle w:val="Style34"/>
        <w:keepNext w:val="0"/>
        <w:keepLines w:val="0"/>
        <w:widowControl w:val="0"/>
        <w:shd w:val="clear" w:color="auto" w:fill="auto"/>
        <w:bidi w:val="0"/>
        <w:spacing w:before="0" w:after="0" w:line="240" w:lineRule="auto"/>
        <w:ind w:right="0" w:firstLine="0"/>
        <w:jc w:val="left"/>
        <w:rPr>
          <w:sz w:val="11"/>
          <w:szCs w:val="11"/>
        </w:rPr>
      </w:pPr>
      <w:r>
        <w:rPr>
          <w:rStyle w:val="CharStyle35"/>
        </w:rPr>
        <w:t xml:space="preserve">Кому </w:t>
      </w:r>
      <w:r>
        <w:rPr>
          <w:rStyle w:val="CharStyle35"/>
          <w:color w:val="565656"/>
        </w:rPr>
        <w:t xml:space="preserve">выдан: </w:t>
      </w:r>
      <w:r>
        <w:rPr>
          <w:rStyle w:val="CharStyle35"/>
          <w:color w:val="000000"/>
          <w:sz w:val="11"/>
          <w:szCs w:val="11"/>
        </w:rPr>
        <w:t>Бочков Сергей Александрович</w:t>
      </w:r>
    </w:p>
    <w:p>
      <w:pPr>
        <w:pStyle w:val="Style34"/>
        <w:keepNext w:val="0"/>
        <w:keepLines w:val="0"/>
        <w:widowControl w:val="0"/>
        <w:shd w:val="clear" w:color="auto" w:fill="auto"/>
        <w:bidi w:val="0"/>
        <w:spacing w:before="0" w:after="0" w:line="240" w:lineRule="auto"/>
        <w:ind w:right="0" w:firstLine="0"/>
        <w:jc w:val="left"/>
      </w:pPr>
      <w:r>
        <w:rPr>
          <w:rStyle w:val="CharStyle35"/>
        </w:rPr>
        <w:t xml:space="preserve">Сертификат </w:t>
      </w:r>
      <w:r>
        <w:rPr>
          <w:rStyle w:val="CharStyle35"/>
          <w:color w:val="292929"/>
        </w:rPr>
        <w:t xml:space="preserve">№ </w:t>
      </w:r>
      <w:r>
        <w:rPr>
          <w:rStyle w:val="CharStyle35"/>
          <w:lang w:val="en-US" w:eastAsia="en-US"/>
        </w:rPr>
        <w:t>3594F9724E4D48CCCC80D14CBA75D809</w:t>
      </w:r>
    </w:p>
    <w:p>
      <w:pPr>
        <w:pStyle w:val="Style34"/>
        <w:keepNext w:val="0"/>
        <w:keepLines w:val="0"/>
        <w:widowControl w:val="0"/>
        <w:shd w:val="clear" w:color="auto" w:fill="auto"/>
        <w:bidi w:val="0"/>
        <w:spacing w:before="0" w:after="0" w:line="240" w:lineRule="auto"/>
        <w:ind w:right="0" w:firstLine="0"/>
        <w:jc w:val="left"/>
      </w:pPr>
      <w:r>
        <w:rPr>
          <w:rStyle w:val="CharStyle35"/>
        </w:rPr>
        <w:t xml:space="preserve">Действителен с 18.02.2026 </w:t>
      </w:r>
      <w:r>
        <w:rPr>
          <w:rStyle w:val="CharStyle35"/>
          <w:color w:val="565656"/>
        </w:rPr>
        <w:t>по 14.05.2027</w:t>
      </w:r>
    </w:p>
    <w:p>
      <w:pPr>
        <w:pStyle w:val="Style12"/>
        <w:keepNext w:val="0"/>
        <w:keepLines w:val="0"/>
        <w:widowControl w:val="0"/>
        <w:shd w:val="clear" w:color="auto" w:fill="auto"/>
        <w:bidi w:val="0"/>
        <w:spacing w:before="0" w:after="80" w:line="240" w:lineRule="auto"/>
        <w:ind w:left="0" w:right="0" w:firstLine="0"/>
        <w:jc w:val="left"/>
      </w:pPr>
      <w:r>
        <w:rPr>
          <w:rStyle w:val="CharStyle13"/>
        </w:rPr>
        <w:t>Члены комиссии:</w:t>
      </w:r>
    </w:p>
    <w:p>
      <w:pPr>
        <w:pStyle w:val="Style12"/>
        <w:keepNext w:val="0"/>
        <w:keepLines w:val="0"/>
        <w:widowControl w:val="0"/>
        <w:shd w:val="clear" w:color="auto" w:fill="auto"/>
        <w:bidi w:val="0"/>
        <w:spacing w:before="0" w:after="430" w:line="240" w:lineRule="auto"/>
        <w:ind w:left="0" w:right="0" w:firstLine="0"/>
        <w:jc w:val="center"/>
      </w:pPr>
      <w:r>
        <w:drawing>
          <wp:anchor distT="0" distB="0" distL="114300" distR="1900555" simplePos="0" relativeHeight="125829388" behindDoc="0" locked="0" layoutInCell="1" allowOverlap="1">
            <wp:simplePos x="0" y="0"/>
            <wp:positionH relativeFrom="page">
              <wp:posOffset>2656205</wp:posOffset>
            </wp:positionH>
            <wp:positionV relativeFrom="paragraph">
              <wp:posOffset>63500</wp:posOffset>
            </wp:positionV>
            <wp:extent cx="359410" cy="39624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59410"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3076575</wp:posOffset>
                </wp:positionH>
                <wp:positionV relativeFrom="paragraph">
                  <wp:posOffset>151765</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2.25pt;margin-top:11.950000000000001pt;width:135.59999999999999pt;height:20.400000000000002pt;z-index:251657733;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3"/>
        </w:rPr>
        <w:t>О.Н. Михайлова</w: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rPr>
          <w:sz w:val="12"/>
          <w:szCs w:val="12"/>
        </w:rPr>
      </w:pPr>
      <w:r>
        <w:rPr>
          <w:rStyle w:val="CharStyle3"/>
          <w:rFonts w:ascii="Georgia" w:eastAsia="Georgia" w:hAnsi="Georgia" w:cs="Georgia"/>
          <w:color w:val="FFFFFF"/>
          <w:sz w:val="12"/>
          <w:szCs w:val="12"/>
        </w:rPr>
        <w:t>СВЕДЕНИЯ О СЕРТИФИКАТЕ ЭП</w:t>
      </w:r>
    </w:p>
    <w:p>
      <w:pPr>
        <w:pStyle w:val="Style34"/>
        <w:keepNext w:val="0"/>
        <w:keepLines w:val="0"/>
        <w:widowControl w:val="0"/>
        <w:shd w:val="clear" w:color="auto" w:fill="auto"/>
        <w:bidi w:val="0"/>
        <w:spacing w:before="0" w:after="0" w:line="240" w:lineRule="auto"/>
        <w:ind w:right="0" w:firstLine="0"/>
        <w:jc w:val="left"/>
        <w:rPr>
          <w:sz w:val="11"/>
          <w:szCs w:val="11"/>
        </w:rPr>
      </w:pPr>
      <w:r>
        <w:rPr>
          <w:rStyle w:val="CharStyle35"/>
        </w:rPr>
        <w:t xml:space="preserve">Кому выдан: </w:t>
      </w:r>
      <w:r>
        <w:rPr>
          <w:rStyle w:val="CharStyle35"/>
          <w:color w:val="000000"/>
          <w:sz w:val="11"/>
          <w:szCs w:val="11"/>
        </w:rPr>
        <w:t>Михайлова Ольга Николаевна</w:t>
      </w:r>
    </w:p>
    <w:p>
      <w:pPr>
        <w:pStyle w:val="Style34"/>
        <w:keepNext w:val="0"/>
        <w:keepLines w:val="0"/>
        <w:widowControl w:val="0"/>
        <w:shd w:val="clear" w:color="auto" w:fill="auto"/>
        <w:bidi w:val="0"/>
        <w:spacing w:before="0" w:after="0" w:line="240" w:lineRule="auto"/>
        <w:ind w:right="0" w:firstLine="0"/>
        <w:jc w:val="left"/>
      </w:pPr>
      <w:r>
        <w:rPr>
          <w:rStyle w:val="CharStyle35"/>
        </w:rPr>
        <w:t xml:space="preserve">Сертификат </w:t>
      </w:r>
      <w:r>
        <w:rPr>
          <w:rStyle w:val="CharStyle35"/>
          <w:color w:val="292929"/>
        </w:rPr>
        <w:t xml:space="preserve">№ </w:t>
      </w:r>
      <w:r>
        <w:rPr>
          <w:rStyle w:val="CharStyle35"/>
          <w:lang w:val="en-US" w:eastAsia="en-US"/>
        </w:rPr>
        <w:t>00BF196A4D686B13EAB643D2586BD99680</w:t>
      </w:r>
    </w:p>
    <w:p>
      <w:pPr>
        <w:pStyle w:val="Style34"/>
        <w:keepNext w:val="0"/>
        <w:keepLines w:val="0"/>
        <w:widowControl w:val="0"/>
        <w:shd w:val="clear" w:color="auto" w:fill="auto"/>
        <w:bidi w:val="0"/>
        <w:spacing w:before="0" w:after="320" w:line="240" w:lineRule="auto"/>
        <w:ind w:right="0" w:firstLine="0"/>
        <w:jc w:val="left"/>
      </w:pPr>
      <w:r>
        <w:rPr>
          <w:rStyle w:val="CharStyle35"/>
        </w:rPr>
        <w:t xml:space="preserve">Действителен с 04.04.2025 </w:t>
      </w:r>
      <w:r>
        <w:rPr>
          <w:rStyle w:val="CharStyle35"/>
          <w:color w:val="565656"/>
        </w:rPr>
        <w:t xml:space="preserve">по </w:t>
      </w:r>
      <w:r>
        <w:rPr>
          <w:rStyle w:val="CharStyle35"/>
        </w:rPr>
        <w:t>28.06.2026</w:t>
      </w:r>
    </w:p>
    <w:p>
      <w:pPr>
        <w:pStyle w:val="Style12"/>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9" behindDoc="0" locked="0" layoutInCell="1" allowOverlap="1">
            <wp:simplePos x="0" y="0"/>
            <wp:positionH relativeFrom="page">
              <wp:posOffset>2656205</wp:posOffset>
            </wp:positionH>
            <wp:positionV relativeFrom="paragraph">
              <wp:posOffset>63500</wp:posOffset>
            </wp:positionV>
            <wp:extent cx="359410" cy="52451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3"/>
                    <a:stretch/>
                  </pic:blipFill>
                  <pic:spPr>
                    <a:xfrm>
                      <a:ext cx="359410" cy="52451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3116580</wp:posOffset>
                </wp:positionH>
                <wp:positionV relativeFrom="paragraph">
                  <wp:posOffset>468630</wp:posOffset>
                </wp:positionV>
                <wp:extent cx="1283335" cy="100330"/>
                <wp:wrapNone/>
                <wp:docPr id="27" name="Shape 2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45.40000000000001pt;margin-top:36.899999999999999pt;width:101.05pt;height:7.9000000000000004pt;z-index:251657735;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3076575</wp:posOffset>
                </wp:positionH>
                <wp:positionV relativeFrom="paragraph">
                  <wp:posOffset>151765</wp:posOffset>
                </wp:positionV>
                <wp:extent cx="1722120" cy="259080"/>
                <wp:wrapNone/>
                <wp:docPr id="29" name="Shape 2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42.25pt;margin-top:11.950000000000001pt;width:135.59999999999999pt;height:20.400000000000002pt;z-index:251657737;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3"/>
        </w:rPr>
        <w:t>А.В. Шаврин</w:t>
      </w:r>
    </w:p>
    <w:p>
      <w:pPr>
        <w:pStyle w:val="Style34"/>
        <w:keepNext w:val="0"/>
        <w:keepLines w:val="0"/>
        <w:widowControl w:val="0"/>
        <w:shd w:val="clear" w:color="auto" w:fill="auto"/>
        <w:bidi w:val="0"/>
        <w:spacing w:before="0" w:after="0" w:line="240" w:lineRule="auto"/>
        <w:ind w:right="0" w:firstLine="0"/>
        <w:jc w:val="left"/>
        <w:rPr>
          <w:sz w:val="11"/>
          <w:szCs w:val="11"/>
        </w:rPr>
      </w:pPr>
      <w:r>
        <w:rPr>
          <w:rStyle w:val="CharStyle35"/>
        </w:rPr>
        <w:t xml:space="preserve">Кому выдан: </w:t>
      </w:r>
      <w:r>
        <w:rPr>
          <w:rStyle w:val="CharStyle35"/>
          <w:color w:val="000000"/>
          <w:sz w:val="11"/>
          <w:szCs w:val="11"/>
        </w:rPr>
        <w:t>Шаврин Александр Владимирович</w:t>
      </w:r>
    </w:p>
    <w:p>
      <w:pPr>
        <w:pStyle w:val="Style34"/>
        <w:keepNext w:val="0"/>
        <w:keepLines w:val="0"/>
        <w:widowControl w:val="0"/>
        <w:shd w:val="clear" w:color="auto" w:fill="auto"/>
        <w:bidi w:val="0"/>
        <w:spacing w:before="0" w:after="0" w:line="240" w:lineRule="auto"/>
        <w:ind w:right="0" w:firstLine="0"/>
        <w:jc w:val="left"/>
      </w:pPr>
      <w:r>
        <w:rPr>
          <w:rStyle w:val="CharStyle35"/>
        </w:rPr>
        <w:t xml:space="preserve">Сертификат </w:t>
      </w:r>
      <w:r>
        <w:rPr>
          <w:rStyle w:val="CharStyle35"/>
          <w:color w:val="292929"/>
        </w:rPr>
        <w:t xml:space="preserve">№ </w:t>
      </w:r>
      <w:r>
        <w:rPr>
          <w:rStyle w:val="CharStyle35"/>
          <w:lang w:val="en-US" w:eastAsia="en-US"/>
        </w:rPr>
        <w:t>00C45121FBA9F083EE218EFC6C4D70B71</w:t>
      </w:r>
      <w:r>
        <w:rPr>
          <w:rStyle w:val="CharStyle35"/>
          <w:lang w:val="en-US" w:eastAsia="en-US"/>
        </w:rPr>
        <w:t>0</w:t>
      </w:r>
    </w:p>
    <w:p>
      <w:pPr>
        <w:pStyle w:val="Style34"/>
        <w:keepNext w:val="0"/>
        <w:keepLines w:val="0"/>
        <w:widowControl w:val="0"/>
        <w:shd w:val="clear" w:color="auto" w:fill="auto"/>
        <w:bidi w:val="0"/>
        <w:spacing w:before="0" w:after="0" w:line="240" w:lineRule="auto"/>
        <w:ind w:right="0" w:firstLine="0"/>
        <w:jc w:val="left"/>
      </w:pPr>
      <w:r>
        <w:rPr>
          <w:rStyle w:val="CharStyle35"/>
        </w:rPr>
        <w:t xml:space="preserve">Действителен с 01.08.2025 </w:t>
      </w:r>
      <w:r>
        <w:rPr>
          <w:rStyle w:val="CharStyle35"/>
          <w:color w:val="565656"/>
        </w:rPr>
        <w:t xml:space="preserve">по </w:t>
      </w:r>
      <w:r>
        <w:rPr>
          <w:rStyle w:val="CharStyle35"/>
        </w:rPr>
        <w:t>25.10.2026</w:t>
      </w:r>
    </w:p>
    <w:sectPr>
      <w:footnotePr>
        <w:pos w:val="pageBottom"/>
        <w:numFmt w:val="decimal"/>
        <w:numRestart w:val="continuous"/>
      </w:footnotePr>
      <w:type w:val="continuous"/>
      <w:pgSz w:w="11900" w:h="16840"/>
      <w:pgMar w:top="1110" w:right="53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726440</wp:posOffset>
              </wp:positionH>
              <wp:positionV relativeFrom="page">
                <wp:posOffset>10001885</wp:posOffset>
              </wp:positionV>
              <wp:extent cx="606425" cy="125095"/>
              <wp:wrapNone/>
              <wp:docPr id="7" name="Shape 7"/>
              <a:graphic xmlns:a="http://schemas.openxmlformats.org/drawingml/2006/main">
                <a:graphicData uri="http://schemas.microsoft.com/office/word/2010/wordprocessingShape">
                  <wps:wsp>
                    <wps:cNvSpPr txBox="1"/>
                    <wps:spPr>
                      <a:xfrm>
                        <a:ext cx="606425" cy="12509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2026-3555</w:t>
                          </w:r>
                        </w:p>
                      </w:txbxContent>
                    </wps:txbx>
                    <wps:bodyPr wrap="none" lIns="0" tIns="0" rIns="0" bIns="0">
                      <a:spAutoFit/>
                    </wps:bodyPr>
                  </wps:wsp>
                </a:graphicData>
              </a:graphic>
            </wp:anchor>
          </w:drawing>
        </mc:Choice>
        <mc:Fallback>
          <w:pict>
            <v:shape id="_x0000_s1033" type="#_x0000_t202" style="position:absolute;margin-left:57.200000000000003pt;margin-top:787.55000000000007pt;width:47.75pt;height:9.8499999999999996pt;z-index:-188744063;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2026-3555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10001885</wp:posOffset>
              </wp:positionV>
              <wp:extent cx="606425" cy="125095"/>
              <wp:wrapNone/>
              <wp:docPr id="9" name="Shape 9"/>
              <a:graphic xmlns:a="http://schemas.openxmlformats.org/drawingml/2006/main">
                <a:graphicData uri="http://schemas.microsoft.com/office/word/2010/wordprocessingShape">
                  <wps:wsp>
                    <wps:cNvSpPr txBox="1"/>
                    <wps:spPr>
                      <a:xfrm>
                        <a:ext cx="606425" cy="12509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lang w:val="ru-RU" w:eastAsia="ru-RU"/>
                            </w:rPr>
                            <w:t>2026-3555</w:t>
                          </w:r>
                        </w:p>
                      </w:txbxContent>
                    </wps:txbx>
                    <wps:bodyPr wrap="none" lIns="0" tIns="0" rIns="0" bIns="0">
                      <a:spAutoFit/>
                    </wps:bodyPr>
                  </wps:wsp>
                </a:graphicData>
              </a:graphic>
            </wp:anchor>
          </w:drawing>
        </mc:Choice>
        <mc:Fallback>
          <w:pict>
            <v:shape id="_x0000_s1035" type="#_x0000_t202" style="position:absolute;margin-left:57.200000000000003pt;margin-top:787.55000000000007pt;width:47.75pt;height:9.8499999999999996pt;z-index:-188744061;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lang w:val="ru-RU" w:eastAsia="ru-RU"/>
                      </w:rPr>
                      <w:t>2026-3555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
    <w:multiLevelType w:val="multilevel"/>
    <w:lvl w:ilvl="0">
      <w:start w:val="5"/>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Other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A"/>
      <w:sz w:val="20"/>
      <w:szCs w:val="20"/>
      <w:u w:val="non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5">
    <w:name w:val="Picture caption_"/>
    <w:basedOn w:val="DefaultParagraphFont"/>
    <w:link w:val="Style14"/>
    <w:rPr>
      <w:rFonts w:ascii="Georgia" w:eastAsia="Georgia" w:hAnsi="Georgia" w:cs="Georgia"/>
      <w:b w:val="0"/>
      <w:bCs w:val="0"/>
      <w:i w:val="0"/>
      <w:iCs w:val="0"/>
      <w:smallCaps w:val="0"/>
      <w:strike w:val="0"/>
      <w:color w:val="292929"/>
      <w:sz w:val="11"/>
      <w:szCs w:val="11"/>
      <w:u w:val="none"/>
    </w:rPr>
  </w:style>
  <w:style w:type="character" w:customStyle="1" w:styleId="CharStyle18">
    <w:name w:val="Heading #1_"/>
    <w:basedOn w:val="DefaultParagraphFont"/>
    <w:link w:val="Style17"/>
    <w:rPr>
      <w:rFonts w:ascii="Times New Roman" w:eastAsia="Times New Roman" w:hAnsi="Times New Roman" w:cs="Times New Roman"/>
      <w:b/>
      <w:bCs/>
      <w:i w:val="0"/>
      <w:iCs w:val="0"/>
      <w:smallCaps w:val="0"/>
      <w:strike w:val="0"/>
      <w:u w:val="none"/>
    </w:rPr>
  </w:style>
  <w:style w:type="character" w:customStyle="1" w:styleId="CharStyle20">
    <w:name w:val="Header or footer (2)_"/>
    <w:basedOn w:val="DefaultParagraphFont"/>
    <w:link w:val="Style1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5">
    <w:name w:val="Table caption_"/>
    <w:basedOn w:val="DefaultParagraphFont"/>
    <w:link w:val="Style24"/>
    <w:rPr>
      <w:rFonts w:ascii="Times New Roman" w:eastAsia="Times New Roman" w:hAnsi="Times New Roman" w:cs="Times New Roman"/>
      <w:b/>
      <w:bCs/>
      <w:i w:val="0"/>
      <w:iCs w:val="0"/>
      <w:smallCaps w:val="0"/>
      <w:strike w:val="0"/>
      <w:sz w:val="20"/>
      <w:szCs w:val="20"/>
      <w:u w:val="none"/>
    </w:rPr>
  </w:style>
  <w:style w:type="character" w:customStyle="1" w:styleId="CharStyle35">
    <w:name w:val="Body text (2)_"/>
    <w:basedOn w:val="DefaultParagraphFont"/>
    <w:link w:val="Style34"/>
    <w:rPr>
      <w:rFonts w:ascii="Arial" w:eastAsia="Arial" w:hAnsi="Arial" w:cs="Arial"/>
      <w:b w:val="0"/>
      <w:bCs w:val="0"/>
      <w:i w:val="0"/>
      <w:iCs w:val="0"/>
      <w:smallCaps w:val="0"/>
      <w:strike w:val="0"/>
      <w:color w:val="414141"/>
      <w:sz w:val="12"/>
      <w:szCs w:val="12"/>
      <w:u w:val="none"/>
    </w:rPr>
  </w:style>
  <w:style w:type="paragraph" w:customStyle="1" w:styleId="Style2">
    <w:name w:val="Other"/>
    <w:basedOn w:val="Normal"/>
    <w:link w:val="CharStyle3"/>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5">
    <w:name w:val="Body text (3)"/>
    <w:basedOn w:val="Normal"/>
    <w:link w:val="CharStyle6"/>
    <w:pPr>
      <w:widowControl w:val="0"/>
      <w:shd w:val="clear" w:color="auto" w:fill="auto"/>
      <w:spacing w:after="40"/>
      <w:jc w:val="center"/>
    </w:pPr>
    <w:rPr>
      <w:rFonts w:ascii="Times New Roman" w:eastAsia="Times New Roman" w:hAnsi="Times New Roman" w:cs="Times New Roman"/>
      <w:b w:val="0"/>
      <w:bCs w:val="0"/>
      <w:i w:val="0"/>
      <w:iCs w:val="0"/>
      <w:smallCaps w:val="0"/>
      <w:strike w:val="0"/>
      <w:color w:val="46609A"/>
      <w:sz w:val="20"/>
      <w:szCs w:val="20"/>
      <w:u w:val="none"/>
    </w:rPr>
  </w:style>
  <w:style w:type="paragraph" w:styleId="Style12">
    <w:name w:val="Body text"/>
    <w:basedOn w:val="Normal"/>
    <w:link w:val="CharStyle13"/>
    <w:qFormat/>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4">
    <w:name w:val="Picture caption"/>
    <w:basedOn w:val="Normal"/>
    <w:link w:val="CharStyle15"/>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7">
    <w:name w:val="Heading #1"/>
    <w:basedOn w:val="Normal"/>
    <w:link w:val="CharStyle18"/>
    <w:pPr>
      <w:widowControl w:val="0"/>
      <w:shd w:val="clear" w:color="auto" w:fill="auto"/>
      <w:spacing w:after="140" w:line="276" w:lineRule="auto"/>
      <w:ind w:left="470"/>
      <w:outlineLvl w:val="0"/>
    </w:pPr>
    <w:rPr>
      <w:rFonts w:ascii="Times New Roman" w:eastAsia="Times New Roman" w:hAnsi="Times New Roman" w:cs="Times New Roman"/>
      <w:b/>
      <w:bCs/>
      <w:i w:val="0"/>
      <w:iCs w:val="0"/>
      <w:smallCaps w:val="0"/>
      <w:strike w:val="0"/>
      <w:u w:val="none"/>
    </w:rPr>
  </w:style>
  <w:style w:type="paragraph" w:customStyle="1" w:styleId="Style19">
    <w:name w:val="Header or footer (2)"/>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4">
    <w:name w:val="Table caption"/>
    <w:basedOn w:val="Normal"/>
    <w:link w:val="CharStyle25"/>
    <w:pPr>
      <w:widowControl w:val="0"/>
      <w:shd w:val="clear" w:color="auto" w:fill="auto"/>
      <w:ind w:firstLine="360"/>
    </w:pPr>
    <w:rPr>
      <w:rFonts w:ascii="Times New Roman" w:eastAsia="Times New Roman" w:hAnsi="Times New Roman" w:cs="Times New Roman"/>
      <w:b/>
      <w:bCs/>
      <w:i w:val="0"/>
      <w:iCs w:val="0"/>
      <w:smallCaps w:val="0"/>
      <w:strike w:val="0"/>
      <w:sz w:val="20"/>
      <w:szCs w:val="20"/>
      <w:u w:val="none"/>
    </w:rPr>
  </w:style>
  <w:style w:type="paragraph" w:customStyle="1" w:styleId="Style34">
    <w:name w:val="Body text (2)"/>
    <w:basedOn w:val="Normal"/>
    <w:link w:val="CharStyle35"/>
    <w:pPr>
      <w:widowControl w:val="0"/>
      <w:shd w:val="clear" w:color="auto" w:fill="auto"/>
      <w:ind w:left="310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