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Забайкальскому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Лермонтова, 14, г. Чита, 672076</w:t>
        <w:br/>
        <w:t>почтовый адрес: а/я 803, г. Чита, 672000</w:t>
        <w:br/>
        <w:t>тел. (3022) 21-70-30, факс (3022) 32-12-31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"mailto:to75@fas.gov.ru" </w:instrText>
      </w:r>
      <w:r>
        <w:fldChar w:fldCharType="separate"/>
      </w:r>
      <w:r>
        <w:rPr>
          <w:rStyle w:val="CharStyle3"/>
          <w:lang w:val="en-US" w:eastAsia="en-US"/>
        </w:rPr>
        <w:t>to75@fas.gov.ru</w:t>
      </w:r>
      <w:r>
        <w:fldChar w:fldCharType="end"/>
      </w:r>
    </w:p>
    <w:p>
      <w:pPr>
        <w:pStyle w:val="Style8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9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</w:rPr>
        <w:t>7.05.2026</w:t>
      </w:r>
      <w:r>
        <w:rPr>
          <w:rStyle w:val="CharStyle9"/>
          <w:u w:val="none"/>
        </w:rPr>
        <w:tab/>
      </w:r>
      <w:r>
        <w:fldChar w:fldCharType="end"/>
      </w:r>
      <w:r>
        <w:rPr>
          <w:rStyle w:val="CharStyle9"/>
          <w:u w:val="none"/>
        </w:rPr>
        <w:t xml:space="preserve">№ </w:t>
      </w:r>
      <w:r>
        <w:rPr>
          <w:rStyle w:val="CharStyle9"/>
        </w:rPr>
        <w:t>МГ/2212/2</w:t>
      </w:r>
      <w:r>
        <w:rPr>
          <w:rStyle w:val="CharStyle9"/>
          <w:u w:val="none"/>
        </w:rPr>
        <w:t>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firstLine="0"/>
        <w:jc w:val="right"/>
      </w:pPr>
      <w:r>
        <w:rPr>
          <w:rStyle w:val="CharStyle12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РЕШЕНИЕ по рассмотрению жалобы</w:t>
        <w:br/>
        <w:t>№</w:t>
        <w:tab/>
        <w:t>075/06/105-304/2026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о нарушении законодательства при</w:t>
        <w:br/>
        <w:t>осуществлении закупки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 xml:space="preserve">МЕЛЬНИЧКИН ЕВГЕНИЙ ВЛАДИМИРОВИЧ 641641, КУРГАНСКАЯ ОБЛАСТЬ ПЕТУХОВСКИЙ, Г ПЕТУХОВО, УЛ РАБОЧАЯ, Д. 59, КВ. 4 </w:t>
      </w: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evgenymelnichkin@tutamail.com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МУНИЦИПАЛЬНОЕ БЮДЖЕТНОЕ УЧРЕЖДЕНИЕ ГОРОДСКОГО ОКРУГА "ГОРОД ЧИТА" "ДОРОЖНО</w:t>
        <w:softHyphen/>
        <w:t>МОСТОВОЕ РЕМОНТНО</w:t>
        <w:softHyphen/>
        <w:t>СТРОИТЕЛЬНОЕ УПРАВЛЕНИЕ" 672007, ЗАБАЙКАЛЬСКИЙ КРАЙ, г.о. ГОРОД ЧИТА, Г ЧИТА, УЛ МОСТОВАЯ, Д. 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90" w:bottom="1197" w:left="1135" w:header="0" w:footer="3" w:gutter="0"/>
          <w:pgNumType w:start="1"/>
          <w:cols w:num="2" w:space="720" w:equalWidth="0">
            <w:col w:w="4238" w:space="1037"/>
            <w:col w:w="4800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"mailto:PRAVODMRSU75@MAIL.RU"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PRAVODMRSU75@MAIL.RU</w:t>
      </w:r>
      <w:r>
        <w:fldChar w:fldCharType="end"/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2" w:right="0" w:bottom="12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tabs>
          <w:tab w:pos="7152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6"/>
        </w:rPr>
        <w:t>06 мая 2026 года</w:t>
        <w:tab/>
        <w:t>г. Чита, ул. Лермонтова, 14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управления, членов комиссии: Осиповой А.О. начальника отдела контроля закупок Забайкальского УФАС России, Оносовой О.С. ведущего специалиста-эксперта этого же отдела,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рассмотрев жалобу ИП Мельничкина Е.В.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— МУНИЦИПАЛЬНОЕ БЮДЖЕТНОЕ УЧРЕЖДЕНИЕ ГОРОДСКОГО ОКРУГА "ГОРОД ЧИТА" "ДОРОЖНО-МОСТОВОЕ РЕМОНТНО-СТРОИТЕЛЬНОЕ УПРАВЛЕНИЕ" при проведении запроса котировок в электронной форме «Реконструкция элементов обустройства на площади Революции в г. Чите (устройство скамей, устройство урн, обрезка деревьев)» (реестровый номер закупки 0391600003226000051),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при участии представителей заказчика – Сумина А.С. (доверенность от 04.05.2026), Мясникова Б.В. (доверенность от 04.05.2026),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в отсутствие представителя заявителя (уведомлен надлежащим образом о времени и месте рассмотрения)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16"/>
          <w:b/>
          <w:bCs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28.04.2026 в адрес Забайкальского УФАС России поступили жалоба ИП Мельничкина Е.В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осуществлении закупки № 0391600003226000051.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600"/>
        <w:jc w:val="both"/>
      </w:pPr>
      <w:r>
        <w:rPr>
          <w:rStyle w:val="CharStyle16"/>
        </w:rPr>
        <w:t>По мнению заявителя, его права и законные интересы нарушены действиями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2"/>
        </w:rPr>
        <w:t xml:space="preserve">1IIIIIIIIII Illi </w:t>
      </w:r>
      <w:r>
        <w:rPr>
          <w:rStyle w:val="CharStyle22"/>
          <w:lang w:val="ru-RU" w:eastAsia="ru-RU"/>
        </w:rPr>
        <w:t xml:space="preserve">II </w:t>
      </w:r>
      <w:r>
        <w:rPr>
          <w:rStyle w:val="CharStyle22"/>
        </w:rPr>
        <w:t xml:space="preserve">III </w:t>
      </w:r>
      <w:r>
        <w:rPr>
          <w:rStyle w:val="CharStyle22"/>
          <w:lang w:val="ru-RU" w:eastAsia="ru-RU"/>
        </w:rPr>
        <w:t>1111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Заказчика не установившего дополнительное требование к участникам Запроса котировок в соответствии с позицией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приложения к постановлению Правительства Российской Федерации от </w:t>
      </w:r>
      <w:r>
        <w:rPr>
          <w:rStyle w:val="CharStyle16"/>
          <w:lang w:val="en-US" w:eastAsia="en-US"/>
        </w:rPr>
        <w:t xml:space="preserve">29.12.2021 № 2571 </w:t>
      </w:r>
      <w:r>
        <w:rPr>
          <w:rStyle w:val="CharStyle16"/>
        </w:rPr>
        <w:t xml:space="preserve">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Постановление </w:t>
      </w:r>
      <w:r>
        <w:rPr>
          <w:rStyle w:val="CharStyle16"/>
          <w:lang w:val="en-US" w:eastAsia="en-US"/>
        </w:rPr>
        <w:t>№ 2571).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Представители заказчика на заседании Комиссии согласились с доводами заявителя, считают жалобу 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  <w:b/>
          <w:bCs/>
        </w:rPr>
        <w:t xml:space="preserve">В ходе рассмотрения жалобы, комиссией на основании пункта </w:t>
      </w:r>
      <w:r>
        <w:rPr>
          <w:rStyle w:val="CharStyle16"/>
          <w:b/>
          <w:bCs/>
          <w:lang w:val="en-US" w:eastAsia="en-US"/>
        </w:rPr>
        <w:t xml:space="preserve">1 </w:t>
      </w:r>
      <w:r>
        <w:rPr>
          <w:rStyle w:val="CharStyle16"/>
          <w:b/>
          <w:bCs/>
        </w:rPr>
        <w:t xml:space="preserve">части </w:t>
      </w:r>
      <w:r>
        <w:rPr>
          <w:rStyle w:val="CharStyle16"/>
          <w:b/>
          <w:bCs/>
          <w:lang w:val="en-US" w:eastAsia="en-US"/>
        </w:rPr>
        <w:t xml:space="preserve">15 </w:t>
      </w:r>
      <w:r>
        <w:rPr>
          <w:rStyle w:val="CharStyle16"/>
          <w:b/>
          <w:bCs/>
        </w:rPr>
        <w:t xml:space="preserve">статьи </w:t>
      </w:r>
      <w:r>
        <w:rPr>
          <w:rStyle w:val="CharStyle16"/>
          <w:b/>
          <w:bCs/>
          <w:lang w:val="en-US" w:eastAsia="en-US"/>
        </w:rPr>
        <w:t xml:space="preserve">99 </w:t>
      </w:r>
      <w:r>
        <w:rPr>
          <w:rStyle w:val="CharStyle16"/>
          <w:b/>
          <w:bCs/>
        </w:rPr>
        <w:t xml:space="preserve">Закона о контрактной системе проведена внеплановая проверка закупки </w:t>
      </w:r>
      <w:r>
        <w:rPr>
          <w:rStyle w:val="CharStyle16"/>
          <w:b/>
          <w:bCs/>
          <w:lang w:val="en-US" w:eastAsia="en-US"/>
        </w:rPr>
        <w:t xml:space="preserve">№0391600003226000051, </w:t>
      </w:r>
      <w:r>
        <w:rPr>
          <w:rStyle w:val="CharStyle16"/>
          <w:b/>
          <w:bCs/>
        </w:rPr>
        <w:t>в ходе которой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  <w:lang w:val="en-US" w:eastAsia="en-US"/>
        </w:rPr>
        <w:t xml:space="preserve">22.04.2026 </w:t>
      </w:r>
      <w:r>
        <w:rPr>
          <w:rStyle w:val="CharStyle16"/>
        </w:rPr>
        <w:t>на официальном сайте ЕИС размещены извещение и электронные документы о проведении запроса котировок в электронной форме «Реконструкция элементов обустройства на площади Революции в г. Чите (устройство скамей, устройство урн, обрезка деревьев)».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Начальная (максимальная) цена контракта </w:t>
      </w:r>
      <w:r>
        <w:rPr>
          <w:rStyle w:val="CharStyle16"/>
          <w:lang w:val="en-US" w:eastAsia="en-US"/>
        </w:rPr>
        <w:t xml:space="preserve">9 021 510,48 </w:t>
      </w:r>
      <w:r>
        <w:rPr>
          <w:rStyle w:val="CharStyle16"/>
        </w:rPr>
        <w:t>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Согласно извещению, объектом закупки является реконструкция элементов обустройства на площади Революции в г. Чите (устройство скамей, устройство урн, обрезка деревьев).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На момент рассмотрения жалобы контракт не заключен.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  <w:b/>
          <w:bCs/>
        </w:rPr>
        <w:t>Рассмотрев представленные документы, заслушав пояснения заказчика, Комиссия приходит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Согласно доводу жалобы Заказчиком неправомерно не установлено дополнительное требование к участникам Запроса котировок в соответствии с позицией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приложения к Постановлению </w:t>
      </w:r>
      <w:r>
        <w:rPr>
          <w:rStyle w:val="CharStyle16"/>
          <w:lang w:val="en-US" w:eastAsia="en-US"/>
        </w:rPr>
        <w:t>№ 2571.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содержащие требования, предъявляемые к участникам закупки 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 xml:space="preserve">Закона о контрактной системе, требования, предъявляемые к участникам закупки в соответствии с частями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2.1 </w:t>
      </w:r>
      <w:r>
        <w:rPr>
          <w:rStyle w:val="CharStyle16"/>
        </w:rPr>
        <w:t xml:space="preserve">(при наличии таких требований) 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 xml:space="preserve">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</w:t>
      </w:r>
      <w:r>
        <w:rPr>
          <w:rStyle w:val="CharStyle16"/>
          <w:lang w:val="en-US" w:eastAsia="en-US"/>
        </w:rPr>
        <w:t xml:space="preserve">1.1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>Закона о контрактной системе (при наличии такого требования).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>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 xml:space="preserve">Закона о контрактной системе установлено, что в случае установления Правительством Российской Федерации в соответствии с частью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>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 xml:space="preserve">Дополнительные требования, а также перечень документов, подтверждающих соответствие участников закупки таким требованиям, определены Постановлением </w:t>
      </w:r>
      <w:r>
        <w:rPr>
          <w:rStyle w:val="CharStyle16"/>
          <w:lang w:val="en-US" w:eastAsia="en-US"/>
        </w:rPr>
        <w:t>№ 2571.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Позицией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приложения к Постановлению </w:t>
      </w:r>
      <w:r>
        <w:rPr>
          <w:rStyle w:val="CharStyle16"/>
          <w:lang w:val="en-US" w:eastAsia="en-US"/>
        </w:rPr>
        <w:t xml:space="preserve">№ 2571 </w:t>
      </w:r>
      <w:r>
        <w:rPr>
          <w:rStyle w:val="CharStyle16"/>
        </w:rPr>
        <w:t>установлено, что в случае проведения закупки на осуществление работ по строительству некапитального строения, сооружения (строений, сооружений), благоустройству территории, необходимо наличие у участника закупки следующего опыта выполнения работ: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Цена выполненных работ по договорам, предусмотренных пунктами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или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настоящей графы настоящей позиции, цена выполненных работ, предусмотренных 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настоящей графы настоящей позиции, должна составлять не менее </w:t>
      </w:r>
      <w:r>
        <w:rPr>
          <w:rStyle w:val="CharStyle16"/>
          <w:lang w:val="en-US" w:eastAsia="en-US"/>
        </w:rPr>
        <w:t xml:space="preserve">20 </w:t>
      </w:r>
      <w:r>
        <w:rPr>
          <w:rStyle w:val="CharStyle16"/>
        </w:rPr>
        <w:t>процентов начальной (максимальной) цены контракта, заключаемого по результатам определения поставщика (подрядчика, исполнителя)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В подпункте «а»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Постановления указано, что позиции </w:t>
      </w:r>
      <w:r>
        <w:rPr>
          <w:rStyle w:val="CharStyle16"/>
          <w:lang w:val="en-US" w:eastAsia="en-US"/>
        </w:rPr>
        <w:t xml:space="preserve">6 - 13, 17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18 </w:t>
      </w:r>
      <w:r>
        <w:rPr>
          <w:rStyle w:val="CharStyle16"/>
        </w:rPr>
        <w:t xml:space="preserve">приложения применяются в случае, если при осуществлении закупки начальная (максимальная) цена контракта для обеспечения федеральных нужд превышает </w:t>
      </w:r>
      <w:r>
        <w:rPr>
          <w:rStyle w:val="CharStyle16"/>
          <w:lang w:val="en-US" w:eastAsia="en-US"/>
        </w:rPr>
        <w:t xml:space="preserve">10 </w:t>
      </w:r>
      <w:r>
        <w:rPr>
          <w:rStyle w:val="CharStyle16"/>
        </w:rPr>
        <w:t xml:space="preserve">млн. рублей, для обеспечения нужд субъектов Российской Федерации, муниципальных нужд </w:t>
      </w:r>
      <w:r>
        <w:rPr>
          <w:rStyle w:val="CharStyle16"/>
          <w:lang w:val="en-US" w:eastAsia="en-US"/>
        </w:rPr>
        <w:t xml:space="preserve">- 5 </w:t>
      </w:r>
      <w:r>
        <w:rPr>
          <w:rStyle w:val="CharStyle16"/>
        </w:rPr>
        <w:t>млн.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В соответствии с Извещением объектом закупки является реконструкция элементов обустройства на площади Революции в г. Чите (устройство скамей, устройство урн, обрезка деревьев)».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связи с тем, что объектом закупки является благоустройство территории для муниципальных нужд с НМЦК более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млн. рублей Заказчику при формировании Извещения надлежало установить дополнительные требования к участникам закупки о наличии опыта выполнения работ в соответствии с позицией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приложения к Постановлению </w:t>
      </w:r>
      <w:r>
        <w:rPr>
          <w:rStyle w:val="CharStyle16"/>
          <w:lang w:val="en-US" w:eastAsia="en-US"/>
        </w:rPr>
        <w:t>№ 2571.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При этом извещение о проведении Конкурса не содержит соответствующих требований к участникам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Таким образом, Комиссия Забайкальского УФАС России выявила в действиях заказчика нарушение требований 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 xml:space="preserve">и пункта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 при описании объекта закупки </w:t>
      </w:r>
      <w:r>
        <w:rPr>
          <w:rStyle w:val="CharStyle16"/>
          <w:lang w:val="en-US" w:eastAsia="en-US"/>
        </w:rPr>
        <w:t>№0391600003226000051.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В связи с указанным, заказчику выдается предписание об устранении нарушений законодательства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Ответственность за указанное нарушение предусмотрена частью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7.30.1 </w:t>
      </w:r>
      <w:r>
        <w:rPr>
          <w:rStyle w:val="CharStyle16"/>
        </w:rPr>
        <w:t>КоАП.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Исходя из изложенного, руководствуясь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26.08.2013 №728 </w:t>
      </w:r>
      <w:r>
        <w:rPr>
          <w:rStyle w:val="CharStyle16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системе, комиссия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Style w:val="CharStyle16"/>
          <w:b/>
          <w:bCs/>
        </w:rPr>
        <w:t>Р Е Ш И Л А: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Признать жалобу ИП Мельничкина Е.В. обоснованной.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Признать заказчика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МУНИЦИПАЛЬНОЕ БЮДЖЕТНОЕ УЧРЕЖДЕНИЕ ГОРОДСКОГО ОКРУГА "ГОРОД ЧИТА" "ДОРОЖНО-МОСТОВОЕ РЕМОНТНО</w:t>
        <w:softHyphen/>
        <w:t xml:space="preserve">СТРОИТЕЛЬНОЕ УПРАВЛЕНИЕ" нарушившим часть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31, </w:t>
      </w:r>
      <w:r>
        <w:rPr>
          <w:rStyle w:val="CharStyle16"/>
        </w:rPr>
        <w:t xml:space="preserve">пункт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Выдать заказчику предписание об устранении нарушения законодательства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8" w:val="left"/>
        </w:tabs>
        <w:bidi w:val="0"/>
        <w:spacing w:before="0" w:after="260" w:line="240" w:lineRule="auto"/>
        <w:ind w:left="0" w:right="0" w:firstLine="580"/>
        <w:jc w:val="both"/>
      </w:pPr>
      <w:r>
        <w:rPr>
          <w:rStyle w:val="CharStyle16"/>
        </w:rPr>
        <w:t>Передать материалы дела должностному лицу Забайкальского УФАС России для привлечения виновных лиц заказчика к административной ответственности.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2" w:right="532" w:bottom="1218" w:left="109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31140" distL="0" distR="0" simplePos="0" relativeHeight="125829378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139700</wp:posOffset>
                </wp:positionV>
                <wp:extent cx="1697990" cy="2349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5pt;margin-top:11.pt;width:133.69999999999999pt;height:18.5pt;z-index:-125829375;mso-wrap-distance-left:0;mso-wrap-distance-top:11.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7010" distB="0" distL="0" distR="1786255" simplePos="0" relativeHeight="125829380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207010</wp:posOffset>
            </wp:positionV>
            <wp:extent cx="359410" cy="40259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298450</wp:posOffset>
                </wp:positionV>
                <wp:extent cx="1722120" cy="25908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30000000000001pt;margin-top:23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31140" distL="0" distR="0" simplePos="0" relativeHeight="125829381" behindDoc="0" locked="0" layoutInCell="1" allowOverlap="1">
                <wp:simplePos x="0" y="0"/>
                <wp:positionH relativeFrom="page">
                  <wp:posOffset>6317615</wp:posOffset>
                </wp:positionH>
                <wp:positionV relativeFrom="paragraph">
                  <wp:posOffset>139700</wp:posOffset>
                </wp:positionV>
                <wp:extent cx="868680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М.Б. Гойгов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7.44999999999999pt;margin-top:11.pt;width:68.400000000000006pt;height:18.5pt;z-index:-125829372;mso-wrap-distance-left:0;mso-wrap-distance-top:11.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М.Б. Гойгов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Гонгов Микаил Багаудинович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13E8F22AFF76E7B299FFD431CF9C1CBD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rStyle w:val="CharStyle27"/>
        </w:rPr>
        <w:t xml:space="preserve">Действителен с </w:t>
      </w:r>
      <w:r>
        <w:rPr>
          <w:rStyle w:val="CharStyle27"/>
          <w:color w:val="585858"/>
        </w:rPr>
        <w:t xml:space="preserve">26.12.2025 по </w:t>
      </w:r>
      <w:r>
        <w:rPr>
          <w:rStyle w:val="CharStyle27"/>
        </w:rPr>
        <w:t>21.03.2027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204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45000000000002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30000000000001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А.О. Осипова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Осипова Анна Олеговна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5947F3DC65D765F76EAE31</w:t>
      </w:r>
      <w:r>
        <w:rPr>
          <w:rStyle w:val="CharStyle27"/>
        </w:rPr>
        <w:t>13387С7Е5С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rStyle w:val="CharStyle27"/>
        </w:rPr>
        <w:t xml:space="preserve">Действителен с 22.01.2026 </w:t>
      </w:r>
      <w:r>
        <w:rPr>
          <w:rStyle w:val="CharStyle27"/>
          <w:color w:val="585858"/>
        </w:rPr>
        <w:t xml:space="preserve">по </w:t>
      </w:r>
      <w:r>
        <w:rPr>
          <w:rStyle w:val="CharStyle27"/>
        </w:rPr>
        <w:t>17.04.2027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204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45000000000002pt;margin-top:36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30000000000001pt;margin-top:11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О.С. Оносова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</w:t>
      </w:r>
      <w:r>
        <w:rPr>
          <w:rStyle w:val="CharStyle27"/>
          <w:color w:val="585858"/>
        </w:rPr>
        <w:t xml:space="preserve">выдан: </w:t>
      </w:r>
      <w:r>
        <w:rPr>
          <w:rStyle w:val="CharStyle27"/>
          <w:color w:val="000000"/>
        </w:rPr>
        <w:t>Оносова Ольга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00F32EBA094DAFF63C49FC9D48B4C13D0</w:t>
      </w:r>
      <w:r>
        <w:rPr>
          <w:rStyle w:val="CharStyle27"/>
          <w:lang w:val="en-US" w:eastAsia="en-US"/>
        </w:rPr>
        <w:t>!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rStyle w:val="CharStyle27"/>
        </w:rPr>
        <w:t xml:space="preserve">Действителен с 05.02.2026 </w:t>
      </w:r>
      <w:r>
        <w:rPr>
          <w:rStyle w:val="CharStyle27"/>
          <w:color w:val="585858"/>
        </w:rPr>
        <w:t>по 01.05.2027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9982835</wp:posOffset>
              </wp:positionV>
              <wp:extent cx="62484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484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2026-2432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399999999999999pt;margin-top:786.05000000000007pt;width:49.200000000000003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2026-2432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9854565</wp:posOffset>
              </wp:positionV>
              <wp:extent cx="62484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484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2026-2432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450000000000003pt;margin-top:775.95000000000005pt;width:49.200000000000003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2026-2432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Heading #2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Body text (6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8"/>
      <w:szCs w:val="18"/>
      <w:u w:val="none"/>
    </w:rPr>
  </w:style>
  <w:style w:type="character" w:customStyle="1" w:styleId="CharStyle14">
    <w:name w:val="Body text (4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character" w:customStyle="1" w:styleId="CharStyle25">
    <w:name w:val="Body text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Heading #2"/>
    <w:basedOn w:val="Normal"/>
    <w:link w:val="CharStyle9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Body text (6)"/>
    <w:basedOn w:val="Normal"/>
    <w:link w:val="CharStyle12"/>
    <w:pPr>
      <w:widowControl w:val="0"/>
      <w:shd w:val="clear" w:color="auto" w:fill="auto"/>
      <w:spacing w:after="620" w:line="264" w:lineRule="auto"/>
      <w:ind w:right="18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8"/>
      <w:szCs w:val="18"/>
      <w:u w:val="none"/>
    </w:rPr>
  </w:style>
  <w:style w:type="paragraph" w:customStyle="1" w:styleId="Style13">
    <w:name w:val="Body text (4)"/>
    <w:basedOn w:val="Normal"/>
    <w:link w:val="CharStyle14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