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1782445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819150</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2.05.2026</w:t>
                            </w:r>
                            <w:r>
                              <w:fldChar w:fldCharType="end"/>
                            </w:r>
                            <w:r>
                              <w:rPr>
                                <w:rStyle w:val="CharStyle7"/>
                                <w:sz w:val="30"/>
                                <w:szCs w:val="30"/>
                              </w:rPr>
                              <w:tab/>
                              <w:t>№ 19730/26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5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2.05.2026</w:t>
                      </w:r>
                      <w:r>
                        <w:fldChar w:fldCharType="end"/>
                      </w:r>
                      <w:r>
                        <w:rPr>
                          <w:rStyle w:val="CharStyle7"/>
                          <w:sz w:val="30"/>
                          <w:szCs w:val="30"/>
                        </w:rPr>
                        <w:tab/>
                        <w:t>№ 19730/26</w:t>
                      </w:r>
                    </w:p>
                  </w:txbxContent>
                </v:textbox>
                <w10:wrap type="square" side="right" anchorx="page"/>
              </v:shape>
            </w:pict>
          </mc:Fallback>
        </mc:AlternateContent>
      </w:r>
      <w:r>
        <w:drawing>
          <wp:anchor distT="88900" distB="0" distL="114300" distR="114300" simplePos="0" relativeHeight="125829381" behindDoc="0" locked="0" layoutInCell="1" allowOverlap="1">
            <wp:simplePos x="0" y="0"/>
            <wp:positionH relativeFrom="page">
              <wp:posOffset>715645</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1140" w:right="0" w:firstLine="0"/>
        <w:jc w:val="both"/>
      </w:pPr>
      <w:r>
        <w:rPr>
          <w:rStyle w:val="CharStyle7"/>
        </w:rPr>
        <w:t>ИП Кравченко А.В.</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1140" w:right="0" w:firstLine="0"/>
        <w:jc w:val="both"/>
      </w:pPr>
      <w:r>
        <w:rPr>
          <w:rStyle w:val="CharStyle7"/>
        </w:rPr>
        <w:t>ФГБНУ «РНЦХ им. акад.</w:t>
      </w:r>
    </w:p>
    <w:p>
      <w:pPr>
        <w:pStyle w:val="Style6"/>
        <w:keepNext w:val="0"/>
        <w:keepLines w:val="0"/>
        <w:widowControl w:val="0"/>
        <w:shd w:val="clear" w:color="auto" w:fill="auto"/>
        <w:bidi w:val="0"/>
        <w:spacing w:before="0" w:after="280" w:line="240" w:lineRule="auto"/>
        <w:ind w:left="1140" w:right="0" w:firstLine="0"/>
        <w:jc w:val="both"/>
      </w:pPr>
      <w:r>
        <w:rPr>
          <w:rStyle w:val="CharStyle7"/>
        </w:rPr>
        <w:t>Б.В. Петровского»</w:t>
      </w:r>
    </w:p>
    <w:p>
      <w:pPr>
        <w:pStyle w:val="Style6"/>
        <w:keepNext w:val="0"/>
        <w:keepLines w:val="0"/>
        <w:widowControl w:val="0"/>
        <w:shd w:val="clear" w:color="auto" w:fill="auto"/>
        <w:bidi w:val="0"/>
        <w:spacing w:before="0" w:after="2340" w:line="240" w:lineRule="auto"/>
        <w:ind w:left="1140" w:right="0" w:firstLine="0"/>
        <w:jc w:val="both"/>
      </w:pPr>
      <w:r>
        <w:fldChar w:fldCharType="begin"/>
      </w:r>
      <w:r>
        <w:rPr/>
        <w:instrText> HYPERLINK "mailto:grigoreva.aa@med.ru" </w:instrText>
      </w:r>
      <w:r>
        <w:fldChar w:fldCharType="separate"/>
      </w:r>
      <w:r>
        <w:rPr>
          <w:rStyle w:val="CharStyle7"/>
          <w:lang w:val="en-US" w:eastAsia="en-US"/>
        </w:rPr>
        <w:t>grigoreva.aa@med.ru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077/06/105-5699/2026 </w:t>
      </w:r>
      <w:r>
        <w:rPr>
          <w:rStyle w:val="CharStyle7"/>
          <w:b/>
          <w:bCs/>
        </w:rPr>
        <w:t>о нарушении</w:t>
        <w:br/>
        <w:t>законодательства о контрактной системе</w:t>
        <w:br/>
      </w:r>
      <w:r>
        <w:rPr>
          <w:rStyle w:val="CharStyle7"/>
          <w:b/>
          <w:bCs/>
          <w:lang w:val="en-US" w:eastAsia="en-US"/>
        </w:rPr>
        <w:t>06.05.2026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главного государственного инспектора отдела обжалования государственных закупок А.А. Кутейникова </w:t>
      </w:r>
      <w:r>
        <w:rPr>
          <w:rStyle w:val="CharStyle7"/>
          <w:lang w:val="en-US" w:eastAsia="en-US"/>
        </w:rPr>
        <w:t>,</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ФГБНУ «РНЦХ им. акад. Б.В. Петровского»: А.В. Митякова (по доверенности </w:t>
      </w:r>
      <w:r>
        <w:rPr>
          <w:rStyle w:val="CharStyle7"/>
          <w:lang w:val="en-US" w:eastAsia="en-US"/>
        </w:rPr>
        <w:t xml:space="preserve">№ </w:t>
      </w:r>
      <w:r>
        <w:rPr>
          <w:rStyle w:val="CharStyle7"/>
        </w:rPr>
        <w:t xml:space="preserve">01-исх/1300 от </w:t>
      </w:r>
      <w:r>
        <w:rPr>
          <w:rStyle w:val="CharStyle7"/>
          <w:lang w:val="en-US" w:eastAsia="en-US"/>
        </w:rPr>
        <w:t xml:space="preserve">30.03.2026), </w:t>
      </w:r>
      <w:r>
        <w:rPr>
          <w:rStyle w:val="CharStyle7"/>
        </w:rPr>
        <w:t xml:space="preserve">Н.А. Ходакова (по доверенности </w:t>
      </w:r>
      <w:r>
        <w:rPr>
          <w:rStyle w:val="CharStyle7"/>
          <w:lang w:val="en-US" w:eastAsia="en-US"/>
        </w:rPr>
        <w:t xml:space="preserve">№ </w:t>
      </w:r>
      <w:r>
        <w:rPr>
          <w:rStyle w:val="CharStyle7"/>
        </w:rPr>
        <w:t xml:space="preserve">01-исх/154 от </w:t>
      </w:r>
      <w:r>
        <w:rPr>
          <w:rStyle w:val="CharStyle7"/>
          <w:lang w:val="en-US" w:eastAsia="en-US"/>
        </w:rPr>
        <w:t>19.01.2026),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 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реагентов для нужд Федерального государственного бюджетного научного учреждения «РНЦХ им. акад. Б.В. Петровского» (Закупка </w:t>
      </w:r>
      <w:r>
        <w:rPr>
          <w:rStyle w:val="CharStyle7"/>
          <w:lang w:val="en-US" w:eastAsia="en-US"/>
        </w:rPr>
        <w:t>№0373100072126000696)</w:t>
      </w:r>
    </w:p>
    <w:p>
      <w:pPr>
        <w:pStyle w:val="Style6"/>
        <w:keepNext w:val="0"/>
        <w:keepLines w:val="0"/>
        <w:widowControl w:val="0"/>
        <w:shd w:val="clear" w:color="auto" w:fill="auto"/>
        <w:bidi w:val="0"/>
        <w:spacing w:before="0" w:after="780" w:line="240" w:lineRule="auto"/>
        <w:ind w:left="0" w:right="0" w:firstLine="0"/>
        <w:jc w:val="both"/>
      </w:pP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1002" w:val="left"/>
        </w:tabs>
        <w:bidi w:val="0"/>
        <w:spacing w:before="0" w:after="0" w:line="240" w:lineRule="auto"/>
        <w:ind w:left="0" w:right="0" w:firstLine="700"/>
        <w:jc w:val="both"/>
      </w:pPr>
      <w:r>
        <w:rPr>
          <w:rStyle w:val="CharStyle7"/>
        </w:rPr>
        <w:t xml:space="preserve">В составе жалоб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2"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2"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2" w:val="left"/>
        </w:tabs>
        <w:bidi w:val="0"/>
        <w:spacing w:before="0" w:after="540" w:line="341" w:lineRule="auto"/>
        <w:ind w:left="0" w:right="0" w:firstLine="700"/>
        <w:jc w:val="both"/>
        <w:rPr>
          <w:sz w:val="24"/>
          <w:szCs w:val="24"/>
        </w:rPr>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036" w:right="540" w:bottom="728" w:left="1103" w:header="0" w:footer="3" w:gutter="0"/>
          <w:pgNumType w:start="1"/>
          <w:cols w:space="720"/>
          <w:noEndnote/>
          <w:titlePg/>
          <w:rtlGutter w:val="0"/>
          <w:docGrid w:linePitch="360"/>
        </w:sectPr>
      </w:pPr>
      <w:r>
        <w:rPr>
          <w:rStyle w:val="CharStyle7"/>
        </w:rPr>
        <w:t xml:space="preserve">осуществление закупки медицинских изделий, специализированных продуктов лечебного питания, необходимых для назначения пациенту по </w:t>
      </w:r>
      <w:r>
        <w:rPr>
          <w:rStyle w:val="CharStyle7"/>
          <w:sz w:val="24"/>
          <w:szCs w:val="24"/>
          <w:lang w:val="en-US" w:eastAsia="en-US"/>
        </w:rPr>
        <w:t>2026-22948</w:t>
      </w:r>
    </w:p>
    <w:p>
      <w:pPr>
        <w:pStyle w:val="Style6"/>
        <w:keepNext w:val="0"/>
        <w:keepLines w:val="0"/>
        <w:widowControl w:val="0"/>
        <w:shd w:val="clear" w:color="auto" w:fill="auto"/>
        <w:bidi w:val="0"/>
        <w:spacing w:before="0" w:after="0" w:line="240" w:lineRule="auto"/>
        <w:ind w:left="0" w:right="0" w:firstLine="0"/>
        <w:jc w:val="both"/>
      </w:pPr>
      <w:r>
        <w:rPr>
          <w:rStyle w:val="CharStyle7"/>
        </w:rPr>
        <w:t>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05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соответствии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9"/>
        </w:numPr>
        <w:shd w:val="clear" w:color="auto" w:fill="auto"/>
        <w:tabs>
          <w:tab w:pos="1421" w:val="left"/>
        </w:tabs>
        <w:bidi w:val="0"/>
        <w:spacing w:before="0" w:after="0" w:line="257" w:lineRule="auto"/>
        <w:ind w:left="0" w:right="0" w:firstLine="68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9"/>
        </w:numPr>
        <w:shd w:val="clear" w:color="auto" w:fill="auto"/>
        <w:tabs>
          <w:tab w:pos="1421" w:val="left"/>
        </w:tabs>
        <w:bidi w:val="0"/>
        <w:spacing w:before="0" w:after="0" w:line="257" w:lineRule="auto"/>
        <w:ind w:left="0" w:right="0" w:firstLine="68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9"/>
        </w:numPr>
        <w:shd w:val="clear" w:color="auto" w:fill="auto"/>
        <w:tabs>
          <w:tab w:pos="1421" w:val="left"/>
        </w:tabs>
        <w:bidi w:val="0"/>
        <w:spacing w:before="0" w:after="0" w:line="257" w:lineRule="auto"/>
        <w:ind w:left="0" w:right="0" w:firstLine="68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7" w:lineRule="auto"/>
        <w:ind w:left="0" w:right="0" w:firstLine="680"/>
        <w:jc w:val="both"/>
      </w:pPr>
      <w:r>
        <w:rPr>
          <w:rStyle w:val="CharStyle7"/>
        </w:rPr>
        <w:t xml:space="preserve">Комиссией Управления установлено, что согласно извещению об осуществлении закупки Заказчиком закупаются товары </w:t>
      </w:r>
      <w:r>
        <w:rPr>
          <w:rStyle w:val="CharStyle7"/>
          <w:lang w:val="en-US" w:eastAsia="en-US"/>
        </w:rPr>
        <w:t xml:space="preserve">«CD56-His </w:t>
      </w:r>
      <w:r>
        <w:rPr>
          <w:rStyle w:val="CharStyle7"/>
        </w:rPr>
        <w:t xml:space="preserve">иммуноген </w:t>
      </w:r>
      <w:r>
        <w:rPr>
          <w:rStyle w:val="CharStyle7"/>
          <w:lang w:val="en-US" w:eastAsia="en-US"/>
        </w:rPr>
        <w:t xml:space="preserve">- </w:t>
      </w:r>
      <w:r>
        <w:rPr>
          <w:rStyle w:val="CharStyle7"/>
        </w:rPr>
        <w:t xml:space="preserve">фрагмент внеклеточной части </w:t>
      </w:r>
      <w:r>
        <w:rPr>
          <w:rStyle w:val="CharStyle7"/>
          <w:lang w:val="en-US" w:eastAsia="en-US"/>
        </w:rPr>
        <w:t xml:space="preserve">CD56 (NCAM1) </w:t>
      </w:r>
      <w:r>
        <w:rPr>
          <w:rStyle w:val="CharStyle7"/>
        </w:rPr>
        <w:t xml:space="preserve">человека </w:t>
      </w:r>
      <w:r>
        <w:rPr>
          <w:rStyle w:val="CharStyle7"/>
          <w:lang w:val="en-US" w:eastAsia="en-US"/>
        </w:rPr>
        <w:t xml:space="preserve">(Fibronectin type-III 1 </w:t>
      </w:r>
      <w:r>
        <w:rPr>
          <w:rStyle w:val="CharStyle7"/>
        </w:rPr>
        <w:t xml:space="preserve">домен) с </w:t>
      </w:r>
      <w:r>
        <w:rPr>
          <w:rStyle w:val="CharStyle7"/>
          <w:lang w:val="en-US" w:eastAsia="en-US"/>
        </w:rPr>
        <w:t xml:space="preserve">N-концевым His-tag, </w:t>
      </w:r>
      <w:r>
        <w:rPr>
          <w:rStyle w:val="CharStyle7"/>
        </w:rPr>
        <w:t xml:space="preserve">предназначенный для иммунизации мышей», </w:t>
      </w:r>
      <w:r>
        <w:rPr>
          <w:rStyle w:val="CharStyle7"/>
          <w:lang w:val="en-US" w:eastAsia="en-US"/>
        </w:rPr>
        <w:t xml:space="preserve">«CD163-His </w:t>
      </w:r>
      <w:r>
        <w:rPr>
          <w:rStyle w:val="CharStyle7"/>
        </w:rPr>
        <w:t xml:space="preserve">иммуноген </w:t>
      </w:r>
      <w:r>
        <w:rPr>
          <w:rStyle w:val="CharStyle7"/>
          <w:lang w:val="en-US" w:eastAsia="en-US"/>
        </w:rPr>
        <w:t xml:space="preserve">– </w:t>
      </w:r>
      <w:r>
        <w:rPr>
          <w:rStyle w:val="CharStyle7"/>
        </w:rPr>
        <w:t xml:space="preserve">фрагмент внеклеточной части </w:t>
      </w:r>
      <w:r>
        <w:rPr>
          <w:rStyle w:val="CharStyle7"/>
          <w:lang w:val="en-US" w:eastAsia="en-US"/>
        </w:rPr>
        <w:t xml:space="preserve">CD163 </w:t>
      </w:r>
      <w:r>
        <w:rPr>
          <w:rStyle w:val="CharStyle7"/>
        </w:rPr>
        <w:t xml:space="preserve">человека, соотвтествующий </w:t>
      </w:r>
      <w:r>
        <w:rPr>
          <w:rStyle w:val="CharStyle7"/>
          <w:lang w:val="en-US" w:eastAsia="en-US"/>
        </w:rPr>
        <w:t xml:space="preserve">N-концевым SRCR </w:t>
      </w:r>
      <w:r>
        <w:rPr>
          <w:rStyle w:val="CharStyle7"/>
        </w:rPr>
        <w:t xml:space="preserve">доменам </w:t>
      </w:r>
      <w:r>
        <w:rPr>
          <w:rStyle w:val="CharStyle7"/>
          <w:lang w:val="en-US" w:eastAsia="en-US"/>
        </w:rPr>
        <w:t xml:space="preserve">1-4 </w:t>
      </w:r>
      <w:r>
        <w:rPr>
          <w:rStyle w:val="CharStyle7"/>
        </w:rPr>
        <w:t xml:space="preserve">с </w:t>
      </w:r>
      <w:r>
        <w:rPr>
          <w:rStyle w:val="CharStyle7"/>
          <w:lang w:val="en-US" w:eastAsia="en-US"/>
        </w:rPr>
        <w:t xml:space="preserve">N-концевым His-tag, </w:t>
      </w:r>
      <w:r>
        <w:rPr>
          <w:rStyle w:val="CharStyle7"/>
        </w:rPr>
        <w:t xml:space="preserve">предназначенный для иммунизации мышей», указан код ОКПД2 </w:t>
      </w:r>
      <w:r>
        <w:rPr>
          <w:rStyle w:val="CharStyle7"/>
          <w:lang w:val="en-US" w:eastAsia="en-US"/>
        </w:rPr>
        <w:t xml:space="preserve">20.59.52.199, </w:t>
      </w:r>
      <w:r>
        <w:rPr>
          <w:rStyle w:val="CharStyle7"/>
        </w:rPr>
        <w:t>при этом какая-либо позиция КТРУ не отражена.</w:t>
      </w:r>
    </w:p>
    <w:p>
      <w:pPr>
        <w:pStyle w:val="Style6"/>
        <w:keepNext w:val="0"/>
        <w:keepLines w:val="0"/>
        <w:widowControl w:val="0"/>
        <w:shd w:val="clear" w:color="auto" w:fill="auto"/>
        <w:bidi w:val="0"/>
        <w:spacing w:before="0" w:after="0" w:line="257" w:lineRule="auto"/>
        <w:ind w:left="0" w:right="0" w:firstLine="680"/>
        <w:jc w:val="both"/>
      </w:pPr>
      <w:r>
        <w:rPr>
          <w:rStyle w:val="CharStyle7"/>
        </w:rPr>
        <w:t xml:space="preserve">В соответствии с ч.1 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7" w:lineRule="auto"/>
        <w:ind w:left="0" w:right="0" w:firstLine="680"/>
        <w:jc w:val="both"/>
      </w:pPr>
      <w:r>
        <w:rPr>
          <w:rStyle w:val="CharStyle7"/>
        </w:rPr>
        <w:t xml:space="preserve">Согласно возражениям Заказчика объекту закупки не соответствует ни одна позиция КТРУ, ввиду чего Заказчик использовал код ОКПД2 </w:t>
      </w:r>
      <w:r>
        <w:rPr>
          <w:rStyle w:val="CharStyle7"/>
          <w:lang w:val="en-US" w:eastAsia="en-US"/>
        </w:rPr>
        <w:t>20.59.52.199.</w:t>
      </w:r>
    </w:p>
    <w:p>
      <w:pPr>
        <w:pStyle w:val="Style6"/>
        <w:keepNext w:val="0"/>
        <w:keepLines w:val="0"/>
        <w:widowControl w:val="0"/>
        <w:shd w:val="clear" w:color="auto" w:fill="auto"/>
        <w:bidi w:val="0"/>
        <w:spacing w:before="0" w:after="0" w:line="257" w:lineRule="auto"/>
        <w:ind w:left="0" w:right="0" w:firstLine="680"/>
        <w:jc w:val="both"/>
        <w:sectPr>
          <w:headerReference w:type="default" r:id="rId13"/>
          <w:footerReference w:type="default" r:id="rId14"/>
          <w:footnotePr>
            <w:pos w:val="pageBottom"/>
            <w:numFmt w:val="decimal"/>
            <w:numRestart w:val="continuous"/>
          </w:footnotePr>
          <w:pgSz w:w="11900" w:h="16840"/>
          <w:pgMar w:top="1137" w:right="545" w:bottom="1116" w:left="1102" w:header="0" w:footer="3" w:gutter="0"/>
          <w:cols w:space="720"/>
          <w:noEndnote/>
          <w:rtlGutter w:val="0"/>
          <w:docGrid w:linePitch="360"/>
        </w:sectPr>
      </w:pPr>
      <w:r>
        <w:rPr>
          <w:rStyle w:val="CharStyle7"/>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позициями</w:t>
      </w:r>
    </w:p>
    <w:p>
      <w:pPr>
        <w:pStyle w:val="Style6"/>
        <w:keepNext w:val="0"/>
        <w:keepLines w:val="0"/>
        <w:widowControl w:val="0"/>
        <w:shd w:val="clear" w:color="auto" w:fill="auto"/>
        <w:bidi w:val="0"/>
        <w:spacing w:before="0" w:after="0" w:line="262" w:lineRule="auto"/>
        <w:ind w:left="0" w:right="0" w:firstLine="0"/>
        <w:jc w:val="both"/>
      </w:pPr>
      <w:r>
        <w:rPr>
          <w:rStyle w:val="CharStyle7"/>
        </w:rPr>
        <w:t>КТРУ указание которых запрещено действующим законодательством, равно как не указано на конкретные товары, которые по мнению Заявителя запрещено закупать в рамках одной закупки,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334"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162" w:right="546" w:bottom="610" w:left="1106" w:header="0" w:footer="182" w:gutter="0"/>
          <w:cols w:space="720"/>
          <w:noEndnote/>
          <w:rtlGutter w:val="0"/>
          <w:docGrid w:linePitch="360"/>
        </w:sectPr>
      </w:pPr>
      <w:r>
        <w:rPr>
          <w:rStyle w:val="CharStyle7"/>
        </w:rPr>
        <w:t xml:space="preserve">Исходя из вышеизложенного Комиссия Управления приходит к выводу, что данный довод жалобы не нашел своего подтверждения и является </w:t>
      </w:r>
      <w:r>
        <w:rPr>
          <w:rStyle w:val="CharStyle7"/>
          <w:sz w:val="24"/>
          <w:szCs w:val="24"/>
          <w:lang w:val="en-US" w:eastAsia="en-US"/>
        </w:rPr>
        <w:t>2026-22948</w:t>
      </w:r>
    </w:p>
    <w:p>
      <w:pPr>
        <w:pStyle w:val="Style6"/>
        <w:keepNext w:val="0"/>
        <w:keepLines w:val="0"/>
        <w:widowControl w:val="0"/>
        <w:shd w:val="clear" w:color="auto" w:fill="auto"/>
        <w:bidi w:val="0"/>
        <w:spacing w:before="0" w:after="0" w:line="240" w:lineRule="auto"/>
        <w:ind w:left="0" w:right="0" w:firstLine="0"/>
        <w:jc w:val="both"/>
      </w:pPr>
      <w:r>
        <w:rPr>
          <w:rStyle w:val="CharStyle7"/>
        </w:rPr>
        <w:t>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66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66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возражениям Заказчика описанию объекта закупки соответствуют следующие товары:</w:t>
      </w:r>
    </w:p>
    <w:p>
      <w:pPr>
        <w:pStyle w:val="Style6"/>
        <w:keepNext w:val="0"/>
        <w:keepLines w:val="0"/>
        <w:widowControl w:val="0"/>
        <w:numPr>
          <w:ilvl w:val="0"/>
          <w:numId w:val="13"/>
        </w:numPr>
        <w:shd w:val="clear" w:color="auto" w:fill="auto"/>
        <w:tabs>
          <w:tab w:pos="922" w:val="left"/>
        </w:tabs>
        <w:bidi w:val="0"/>
        <w:spacing w:before="0" w:after="0" w:line="240" w:lineRule="auto"/>
        <w:ind w:left="0" w:right="0" w:firstLine="660"/>
        <w:jc w:val="both"/>
      </w:pPr>
      <w:r>
        <w:rPr>
          <w:rStyle w:val="CharStyle7"/>
        </w:rPr>
        <w:t xml:space="preserve">по п.1 </w:t>
      </w:r>
      <w:r>
        <w:rPr>
          <w:rStyle w:val="CharStyle7"/>
          <w:lang w:val="en-US" w:eastAsia="en-US"/>
        </w:rPr>
        <w:t xml:space="preserve">«CD56-His </w:t>
      </w:r>
      <w:r>
        <w:rPr>
          <w:rStyle w:val="CharStyle7"/>
        </w:rPr>
        <w:t xml:space="preserve">иммуноген </w:t>
      </w:r>
      <w:r>
        <w:rPr>
          <w:rStyle w:val="CharStyle7"/>
          <w:lang w:val="en-US" w:eastAsia="en-US"/>
        </w:rPr>
        <w:t xml:space="preserve">- </w:t>
      </w:r>
      <w:r>
        <w:rPr>
          <w:rStyle w:val="CharStyle7"/>
        </w:rPr>
        <w:t xml:space="preserve">фрагмент внеклеточной части </w:t>
      </w:r>
      <w:r>
        <w:rPr>
          <w:rStyle w:val="CharStyle7"/>
          <w:lang w:val="en-US" w:eastAsia="en-US"/>
        </w:rPr>
        <w:t xml:space="preserve">CD56 (NCAM1) </w:t>
      </w:r>
      <w:r>
        <w:rPr>
          <w:rStyle w:val="CharStyle7"/>
        </w:rPr>
        <w:t xml:space="preserve">человека </w:t>
      </w:r>
      <w:r>
        <w:rPr>
          <w:rStyle w:val="CharStyle7"/>
          <w:lang w:val="en-US" w:eastAsia="en-US"/>
        </w:rPr>
        <w:t xml:space="preserve">(Fibronectin type-III 1 </w:t>
      </w:r>
      <w:r>
        <w:rPr>
          <w:rStyle w:val="CharStyle7"/>
        </w:rPr>
        <w:t xml:space="preserve">домен) с </w:t>
      </w:r>
      <w:r>
        <w:rPr>
          <w:rStyle w:val="CharStyle7"/>
          <w:lang w:val="en-US" w:eastAsia="en-US"/>
        </w:rPr>
        <w:t xml:space="preserve">N-концевым His-tag, </w:t>
      </w:r>
      <w:r>
        <w:rPr>
          <w:rStyle w:val="CharStyle7"/>
        </w:rPr>
        <w:t xml:space="preserve">предназначенный для иммунизации мышей», производства Иммунорус, страна происхождения Российская Федерация; </w:t>
      </w:r>
      <w:r>
        <w:rPr>
          <w:rStyle w:val="CharStyle7"/>
          <w:lang w:val="en-US" w:eastAsia="en-US"/>
        </w:rPr>
        <w:t xml:space="preserve">«Human NCAM-1 / CD56 Protein, His Tag, low endotoxin (MALS verified)», </w:t>
      </w:r>
      <w:r>
        <w:rPr>
          <w:rStyle w:val="CharStyle7"/>
        </w:rPr>
        <w:t xml:space="preserve">производства </w:t>
      </w:r>
      <w:r>
        <w:rPr>
          <w:rStyle w:val="CharStyle7"/>
          <w:lang w:val="en-US" w:eastAsia="en-US"/>
        </w:rPr>
        <w:t xml:space="preserve">ACROBiosystems, </w:t>
      </w:r>
      <w:r>
        <w:rPr>
          <w:rStyle w:val="CharStyle7"/>
        </w:rPr>
        <w:t>страна происхождения США;</w:t>
      </w:r>
    </w:p>
    <w:p>
      <w:pPr>
        <w:pStyle w:val="Style6"/>
        <w:keepNext w:val="0"/>
        <w:keepLines w:val="0"/>
        <w:widowControl w:val="0"/>
        <w:numPr>
          <w:ilvl w:val="0"/>
          <w:numId w:val="13"/>
        </w:numPr>
        <w:shd w:val="clear" w:color="auto" w:fill="auto"/>
        <w:tabs>
          <w:tab w:pos="922" w:val="left"/>
        </w:tabs>
        <w:bidi w:val="0"/>
        <w:spacing w:before="0" w:after="0" w:line="240" w:lineRule="auto"/>
        <w:ind w:left="0" w:right="0" w:firstLine="660"/>
        <w:jc w:val="both"/>
      </w:pPr>
      <w:r>
        <w:rPr>
          <w:rStyle w:val="CharStyle7"/>
        </w:rPr>
        <w:t xml:space="preserve">по п.2 </w:t>
      </w:r>
      <w:r>
        <w:rPr>
          <w:rStyle w:val="CharStyle7"/>
          <w:lang w:val="en-US" w:eastAsia="en-US"/>
        </w:rPr>
        <w:t xml:space="preserve">«CD163-His </w:t>
      </w:r>
      <w:r>
        <w:rPr>
          <w:rStyle w:val="CharStyle7"/>
        </w:rPr>
        <w:t xml:space="preserve">иммуноген </w:t>
      </w:r>
      <w:r>
        <w:rPr>
          <w:rStyle w:val="CharStyle7"/>
          <w:lang w:val="en-US" w:eastAsia="en-US"/>
        </w:rPr>
        <w:t xml:space="preserve">– </w:t>
      </w:r>
      <w:r>
        <w:rPr>
          <w:rStyle w:val="CharStyle7"/>
        </w:rPr>
        <w:t xml:space="preserve">фрагмент внеклеточной части </w:t>
      </w:r>
      <w:r>
        <w:rPr>
          <w:rStyle w:val="CharStyle7"/>
          <w:lang w:val="en-US" w:eastAsia="en-US"/>
        </w:rPr>
        <w:t xml:space="preserve">CD163 </w:t>
      </w:r>
      <w:r>
        <w:rPr>
          <w:rStyle w:val="CharStyle7"/>
        </w:rPr>
        <w:t xml:space="preserve">человека, соотвтествующий </w:t>
      </w:r>
      <w:r>
        <w:rPr>
          <w:rStyle w:val="CharStyle7"/>
          <w:lang w:val="en-US" w:eastAsia="en-US"/>
        </w:rPr>
        <w:t xml:space="preserve">N-концевым SRCR </w:t>
      </w:r>
      <w:r>
        <w:rPr>
          <w:rStyle w:val="CharStyle7"/>
        </w:rPr>
        <w:t xml:space="preserve">доменам </w:t>
      </w:r>
      <w:r>
        <w:rPr>
          <w:rStyle w:val="CharStyle7"/>
          <w:lang w:val="en-US" w:eastAsia="en-US"/>
        </w:rPr>
        <w:t xml:space="preserve">1-4 </w:t>
      </w:r>
      <w:r>
        <w:rPr>
          <w:rStyle w:val="CharStyle7"/>
        </w:rPr>
        <w:t xml:space="preserve">с </w:t>
      </w:r>
      <w:r>
        <w:rPr>
          <w:rStyle w:val="CharStyle7"/>
          <w:lang w:val="en-US" w:eastAsia="en-US"/>
        </w:rPr>
        <w:t xml:space="preserve">N-концевым His- tag, </w:t>
      </w:r>
      <w:r>
        <w:rPr>
          <w:rStyle w:val="CharStyle7"/>
        </w:rPr>
        <w:t xml:space="preserve">предназначенный для иммунизации мышей», производства Иммунорус, страна происхождения Российская Федерация; </w:t>
      </w:r>
      <w:r>
        <w:rPr>
          <w:rStyle w:val="CharStyle7"/>
          <w:lang w:val="en-US" w:eastAsia="en-US"/>
        </w:rPr>
        <w:t xml:space="preserve">«Human CD163 Protein, His Tag», </w:t>
      </w:r>
      <w:r>
        <w:rPr>
          <w:rStyle w:val="CharStyle7"/>
        </w:rPr>
        <w:t xml:space="preserve">производства </w:t>
      </w:r>
      <w:r>
        <w:rPr>
          <w:rStyle w:val="CharStyle7"/>
          <w:lang w:val="en-US" w:eastAsia="en-US"/>
        </w:rPr>
        <w:t xml:space="preserve">ACROBiosystems, </w:t>
      </w:r>
      <w:r>
        <w:rPr>
          <w:rStyle w:val="CharStyle7"/>
        </w:rPr>
        <w:t>страна происхождения США.</w:t>
      </w:r>
    </w:p>
    <w:p>
      <w:pPr>
        <w:pStyle w:val="Style6"/>
        <w:keepNext w:val="0"/>
        <w:keepLines w:val="0"/>
        <w:widowControl w:val="0"/>
        <w:shd w:val="clear" w:color="auto" w:fill="auto"/>
        <w:bidi w:val="0"/>
        <w:spacing w:before="0" w:after="0" w:line="240" w:lineRule="auto"/>
        <w:ind w:left="0" w:right="0" w:firstLine="66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66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660"/>
        <w:jc w:val="both"/>
      </w:pPr>
      <w:r>
        <w:rPr>
          <w:rStyle w:val="CharStyle7"/>
        </w:rPr>
        <w:t xml:space="preserve">Также в составе жалобы Заявитель указывает, что Заказчик установил (не применил) ограничение допуска по Постановлению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технические характеристики в извещении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В силу ч. </w:t>
      </w:r>
      <w:r>
        <w:rPr>
          <w:rStyle w:val="CharStyle7"/>
          <w:lang w:val="en-US" w:eastAsia="en-US"/>
        </w:rPr>
        <w:t xml:space="preserve">1.1 </w:t>
      </w:r>
      <w:r>
        <w:rPr>
          <w:rStyle w:val="CharStyle7"/>
        </w:rPr>
        <w:t xml:space="preserve">ст. </w:t>
      </w:r>
      <w:r>
        <w:rPr>
          <w:rStyle w:val="CharStyle7"/>
          <w:lang w:val="en-US" w:eastAsia="en-US"/>
        </w:rPr>
        <w:t xml:space="preserve">33 </w:t>
      </w:r>
      <w:r>
        <w:rPr>
          <w:rStyle w:val="CharStyle7"/>
        </w:rPr>
        <w:t>Закона о контрактной системе при описании являющегося объектом закупки товара (в том числе поставляемого при выполнении закупаемой</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работы, оказании закупаемой услуги), в отношении 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тем пп. «а» п. </w:t>
      </w:r>
      <w:r>
        <w:rPr>
          <w:rStyle w:val="CharStyle7"/>
          <w:lang w:val="en-US" w:eastAsia="en-US"/>
        </w:rPr>
        <w:t xml:space="preserve">7 </w:t>
      </w:r>
      <w:r>
        <w:rPr>
          <w:rStyle w:val="CharStyle7"/>
        </w:rPr>
        <w:t xml:space="preserve">Постановления </w:t>
      </w:r>
      <w:r>
        <w:rPr>
          <w:rStyle w:val="CharStyle7"/>
          <w:lang w:val="en-US" w:eastAsia="en-US"/>
        </w:rPr>
        <w:t xml:space="preserve">№ 1875 </w:t>
      </w:r>
      <w:r>
        <w:rPr>
          <w:rStyle w:val="CharStyle7"/>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-для служебного пользования;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w:t>
      </w:r>
      <w:r>
        <w:rPr>
          <w:rStyle w:val="CharStyle7"/>
          <w:lang w:val="en-US" w:eastAsia="en-US"/>
        </w:rPr>
        <w:t xml:space="preserve">-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п.5 Постановления </w:t>
      </w:r>
      <w:r>
        <w:rPr>
          <w:rStyle w:val="CharStyle7"/>
          <w:lang w:val="en-US" w:eastAsia="en-US"/>
        </w:rPr>
        <w:t xml:space="preserve">№ 1875 </w:t>
      </w:r>
      <w:r>
        <w:rPr>
          <w:rStyle w:val="CharStyle7"/>
        </w:rPr>
        <w:t>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Заказчиком установлено преимущество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Как установлено на заседании Комиссии Управления ранее под описание объекта закупки подходит, в том числе, товар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421"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w:t>
      </w:r>
    </w:p>
    <w:p>
      <w:pPr>
        <w:pStyle w:val="Style6"/>
        <w:keepNext w:val="0"/>
        <w:keepLines w:val="0"/>
        <w:widowControl w:val="0"/>
        <w:shd w:val="clear" w:color="auto" w:fill="auto"/>
        <w:bidi w:val="0"/>
        <w:spacing w:before="0" w:after="0" w:line="240" w:lineRule="auto"/>
        <w:ind w:left="0" w:right="0" w:firstLine="0"/>
        <w:jc w:val="both"/>
      </w:pPr>
      <w:r>
        <w:rPr>
          <w:rStyle w:val="CharStyle7"/>
        </w:rPr>
        <w:t>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11"/>
        </w:numPr>
        <w:shd w:val="clear" w:color="auto" w:fill="auto"/>
        <w:tabs>
          <w:tab w:pos="1414" w:val="left"/>
        </w:tabs>
        <w:bidi w:val="0"/>
        <w:spacing w:before="0" w:after="0" w:line="240" w:lineRule="auto"/>
        <w:ind w:left="0" w:right="0" w:firstLine="72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5"/>
        </w:numPr>
        <w:shd w:val="clear" w:color="auto" w:fill="auto"/>
        <w:tabs>
          <w:tab w:pos="1414" w:val="left"/>
        </w:tabs>
        <w:bidi w:val="0"/>
        <w:spacing w:before="0" w:after="0" w:line="240" w:lineRule="auto"/>
        <w:ind w:left="0" w:right="0" w:firstLine="72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4" w:val="left"/>
        </w:tabs>
        <w:bidi w:val="0"/>
        <w:spacing w:before="0" w:after="0" w:line="240" w:lineRule="auto"/>
        <w:ind w:left="0" w:right="0" w:firstLine="72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4" w:val="left"/>
        </w:tabs>
        <w:bidi w:val="0"/>
        <w:spacing w:before="0" w:after="0" w:line="240" w:lineRule="auto"/>
        <w:ind w:left="0" w:right="0" w:firstLine="72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этим в составе жалобы Заявителем не представлено документов и сведений, свидетельствующих о нарушении в действиях Заказчика Закона о</w:t>
      </w:r>
    </w:p>
    <w:p>
      <w:pPr>
        <w:pStyle w:val="Style6"/>
        <w:keepNext w:val="0"/>
        <w:keepLines w:val="0"/>
        <w:widowControl w:val="0"/>
        <w:shd w:val="clear" w:color="auto" w:fill="auto"/>
        <w:bidi w:val="0"/>
        <w:spacing w:before="0" w:after="0" w:line="240" w:lineRule="auto"/>
        <w:ind w:left="0" w:right="0" w:firstLine="0"/>
        <w:jc w:val="both"/>
      </w:pPr>
      <w:r>
        <w:rPr>
          <w:rStyle w:val="CharStyle7"/>
        </w:rPr>
        <w:t>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17"/>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sectPr>
          <w:headerReference w:type="default" r:id="rId17"/>
          <w:footerReference w:type="default" r:id="rId18"/>
          <w:footnotePr>
            <w:pos w:val="pageBottom"/>
            <w:numFmt w:val="decimal"/>
            <w:numRestart w:val="continuous"/>
          </w:footnotePr>
          <w:pgSz w:w="11900" w:h="16840"/>
          <w:pgMar w:top="1162" w:right="546" w:bottom="1114"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19"/>
        </w:numPr>
        <w:shd w:val="clear" w:color="auto" w:fill="auto"/>
        <w:tabs>
          <w:tab w:pos="1411" w:val="left"/>
        </w:tabs>
        <w:bidi w:val="0"/>
        <w:spacing w:before="0" w:after="0" w:line="240" w:lineRule="auto"/>
        <w:ind w:left="0" w:right="0" w:firstLine="720"/>
        <w:jc w:val="both"/>
      </w:pPr>
      <w:r>
        <w:rPr>
          <w:rStyle w:val="CharStyle7"/>
        </w:rPr>
        <w:t>Признать жалобу ИП Кравченко А.В. на действия ФГБНУ «РНЦХ им. акад. Б.В. Петровского» необоснованной.</w:t>
      </w:r>
    </w:p>
    <w:p>
      <w:pPr>
        <w:pStyle w:val="Style6"/>
        <w:keepNext w:val="0"/>
        <w:keepLines w:val="0"/>
        <w:widowControl w:val="0"/>
        <w:numPr>
          <w:ilvl w:val="0"/>
          <w:numId w:val="19"/>
        </w:numPr>
        <w:shd w:val="clear" w:color="auto" w:fill="auto"/>
        <w:tabs>
          <w:tab w:pos="1411" w:val="left"/>
        </w:tabs>
        <w:bidi w:val="0"/>
        <w:spacing w:before="0" w:after="280" w:line="240" w:lineRule="auto"/>
        <w:ind w:left="0" w:right="0" w:firstLine="72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288" w:left="1106" w:header="0" w:footer="3" w:gutter="0"/>
          <w:cols w:space="720"/>
          <w:noEndnote/>
          <w:rtlGutter w:val="0"/>
          <w:docGrid w:linePitch="360"/>
        </w:sectPr>
      </w:pPr>
      <w:r>
        <mc:AlternateContent>
          <mc:Choice Requires="wps">
            <w:drawing>
              <wp:anchor distT="939800" distB="219075" distL="0" distR="0" simplePos="0" relativeHeight="125829382" behindDoc="0" locked="0" layoutInCell="1" allowOverlap="1">
                <wp:simplePos x="0" y="0"/>
                <wp:positionH relativeFrom="page">
                  <wp:posOffset>739140</wp:posOffset>
                </wp:positionH>
                <wp:positionV relativeFrom="paragraph">
                  <wp:posOffset>939800</wp:posOffset>
                </wp:positionV>
                <wp:extent cx="1844040" cy="250190"/>
                <wp:wrapTopAndBottom/>
                <wp:docPr id="21" name="Shape 21"/>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58.200000000000003pt;margin-top:74.pt;width:145.20000000000002pt;height:19.699999999999999pt;z-index:-125829371;mso-wrap-distance-left:0;mso-wrap-distance-top:74.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012825" distB="0" distL="0" distR="1786255" simplePos="0" relativeHeight="125829384" behindDoc="0" locked="0" layoutInCell="1" allowOverlap="1">
            <wp:simplePos x="0" y="0"/>
            <wp:positionH relativeFrom="page">
              <wp:posOffset>3107690</wp:posOffset>
            </wp:positionH>
            <wp:positionV relativeFrom="paragraph">
              <wp:posOffset>1012825</wp:posOffset>
            </wp:positionV>
            <wp:extent cx="359410" cy="39624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1101090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80000000000001pt;margin-top:86.700000000000003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939800" distB="219075" distL="0" distR="0" simplePos="0" relativeHeight="125829385" behindDoc="0" locked="0" layoutInCell="1" allowOverlap="1">
                <wp:simplePos x="0" y="0"/>
                <wp:positionH relativeFrom="page">
                  <wp:posOffset>5908675</wp:posOffset>
                </wp:positionH>
                <wp:positionV relativeFrom="paragraph">
                  <wp:posOffset>939800</wp:posOffset>
                </wp:positionV>
                <wp:extent cx="1307465" cy="250190"/>
                <wp:wrapTopAndBottom/>
                <wp:docPr id="27" name="Shape 27"/>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3" type="#_x0000_t202" style="position:absolute;margin-left:465.25pt;margin-top:74.pt;width:102.95pt;height:19.699999999999999pt;z-index:-125829368;mso-wrap-distance-left:0;mso-wrap-distance-top:74.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Кутейников Антон Андреевич</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67950889C45403E5BD9EBC88A8D80C0D</w:t>
      </w:r>
    </w:p>
    <w:p>
      <w:pPr>
        <w:pStyle w:val="Style18"/>
        <w:keepNext w:val="0"/>
        <w:keepLines w:val="0"/>
        <w:widowControl w:val="0"/>
        <w:shd w:val="clear" w:color="auto" w:fill="auto"/>
        <w:bidi w:val="0"/>
        <w:spacing w:before="0" w:after="580" w:line="240" w:lineRule="auto"/>
        <w:ind w:right="0" w:firstLine="0"/>
        <w:jc w:val="left"/>
      </w:pPr>
      <w:r>
        <w:rPr>
          <w:rStyle w:val="CharStyle19"/>
        </w:rPr>
        <w:t xml:space="preserve">Действителен с 19.05.2025 </w:t>
      </w:r>
      <w:r>
        <w:rPr>
          <w:rStyle w:val="CharStyle19"/>
          <w:color w:val="5E5E5E"/>
        </w:rPr>
        <w:t xml:space="preserve">по </w:t>
      </w:r>
      <w:r>
        <w:rPr>
          <w:rStyle w:val="CharStyle19"/>
        </w:rPr>
        <w:t>12.08.2026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1180" w:right="0" w:firstLine="0"/>
        <w:jc w:val="lef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63500</wp:posOffset>
            </wp:positionV>
            <wp:extent cx="359410" cy="39624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3527425</wp:posOffset>
                </wp:positionH>
                <wp:positionV relativeFrom="paragraph">
                  <wp:posOffset>151765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75pt;margin-top:11.950000000000001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М.О. Мацнева</w: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Мацнева Мария Олеговна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00FDA1C988AAB27A9A34756B8D5F1D853</w:t>
      </w:r>
      <w:r>
        <w:rPr>
          <w:rStyle w:val="CharStyle19"/>
          <w:lang w:val="en-US" w:eastAsia="en-US"/>
        </w:rPr>
        <w:t>A</w:t>
      </w:r>
    </w:p>
    <w:p>
      <w:pPr>
        <w:pStyle w:val="Style18"/>
        <w:keepNext w:val="0"/>
        <w:keepLines w:val="0"/>
        <w:widowControl w:val="0"/>
        <w:shd w:val="clear" w:color="auto" w:fill="auto"/>
        <w:bidi w:val="0"/>
        <w:spacing w:before="0" w:after="580" w:line="240" w:lineRule="auto"/>
        <w:ind w:right="0" w:firstLine="0"/>
        <w:jc w:val="left"/>
      </w:pPr>
      <w:r>
        <w:rPr>
          <w:rStyle w:val="CharStyle19"/>
        </w:rPr>
        <w:t xml:space="preserve">Действителен с 22.07.2025 </w:t>
      </w:r>
      <w:r>
        <w:rPr>
          <w:rStyle w:val="CharStyle19"/>
          <w:color w:val="5E5E5E"/>
        </w:rPr>
        <w:t xml:space="preserve">по </w:t>
      </w:r>
      <w:r>
        <w:rPr>
          <w:rStyle w:val="CharStyle19"/>
        </w:rPr>
        <w:t>15.10.2026</w:t>
      </w:r>
    </w:p>
    <w:p>
      <w:pPr>
        <w:pStyle w:val="Style6"/>
        <w:keepNext w:val="0"/>
        <w:keepLines w:val="0"/>
        <w:widowControl w:val="0"/>
        <w:shd w:val="clear" w:color="auto" w:fill="auto"/>
        <w:bidi w:val="0"/>
        <w:spacing w:before="0" w:after="370" w:line="240" w:lineRule="auto"/>
        <w:ind w:left="0" w:right="0" w:firstLine="860"/>
        <w:jc w:val="left"/>
      </w:pPr>
      <w:r>
        <w:drawing>
          <wp:anchor distT="0" distB="0" distL="114300" distR="1900555" simplePos="0" relativeHeight="125829388" behindDoc="0" locked="0" layoutInCell="1" allowOverlap="1">
            <wp:simplePos x="0" y="0"/>
            <wp:positionH relativeFrom="page">
              <wp:posOffset>3107055</wp:posOffset>
            </wp:positionH>
            <wp:positionV relativeFrom="paragraph">
              <wp:posOffset>63500</wp:posOffset>
            </wp:positionV>
            <wp:extent cx="359410" cy="39624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151765</wp:posOffset>
                </wp:positionV>
                <wp:extent cx="1725295" cy="259080"/>
                <wp:wrapNone/>
                <wp:docPr id="35" name="Shape 35"/>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5000000000001pt;margin-top:11.950000000000001pt;width:135.84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7"/>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ХЛЕБНИКОВА АНАСТАСИЯ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00BDC586F2C22E8641</w:t>
      </w:r>
      <w:r>
        <w:rPr>
          <w:rStyle w:val="CharStyle19"/>
        </w:rPr>
        <w:t>81858031</w:t>
      </w:r>
      <w:r>
        <w:rPr>
          <w:rStyle w:val="CharStyle19"/>
          <w:lang w:val="en-US" w:eastAsia="en-US"/>
        </w:rPr>
        <w:t>D</w:t>
      </w:r>
      <w:r>
        <w:rPr>
          <w:rStyle w:val="CharStyle19"/>
        </w:rPr>
        <w:t>1</w:t>
      </w:r>
      <w:r>
        <w:rPr>
          <w:rStyle w:val="CharStyle19"/>
          <w:color w:val="292929"/>
        </w:rPr>
        <w:t>6А11</w:t>
      </w:r>
      <w:r>
        <w:rPr>
          <w:rStyle w:val="CharStyle19"/>
        </w:rPr>
        <w:t>13</w:t>
      </w:r>
    </w:p>
    <w:p>
      <w:pPr>
        <w:pStyle w:val="Style18"/>
        <w:keepNext w:val="0"/>
        <w:keepLines w:val="0"/>
        <w:widowControl w:val="0"/>
        <w:shd w:val="clear" w:color="auto" w:fill="auto"/>
        <w:bidi w:val="0"/>
        <w:spacing w:before="0" w:after="3000" w:line="240" w:lineRule="auto"/>
        <w:ind w:right="0" w:firstLine="0"/>
        <w:jc w:val="left"/>
      </w:pPr>
      <w:r>
        <w:rPr>
          <w:rStyle w:val="CharStyle19"/>
        </w:rPr>
        <w:t>Действителен с 31.1</w:t>
      </w:r>
      <w:r>
        <w:rPr>
          <w:rStyle w:val="CharStyle19"/>
          <w:color w:val="5E5E5E"/>
        </w:rPr>
        <w:t xml:space="preserve">0.2025 по </w:t>
      </w:r>
      <w:r>
        <w:rPr>
          <w:rStyle w:val="CharStyle19"/>
          <w:color w:val="292929"/>
        </w:rPr>
        <w:t>24.01</w:t>
      </w:r>
      <w:r>
        <w:rPr>
          <w:rStyle w:val="CharStyle19"/>
        </w:rPr>
        <w:t>.2027</w:t>
      </w:r>
    </w:p>
    <w:p>
      <w:pPr>
        <w:pStyle w:val="Style23"/>
        <w:keepNext w:val="0"/>
        <w:keepLines w:val="0"/>
        <w:widowControl w:val="0"/>
        <w:shd w:val="clear" w:color="auto" w:fill="auto"/>
        <w:bidi w:val="0"/>
        <w:spacing w:before="0" w:line="240" w:lineRule="auto"/>
        <w:ind w:left="0" w:right="0" w:firstLine="0"/>
        <w:jc w:val="left"/>
      </w:pPr>
      <w:r>
        <w:rPr>
          <w:rStyle w:val="CharStyle24"/>
        </w:rPr>
        <w:t>Исп.Хлебникова А.С.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10294620</wp:posOffset>
              </wp:positionV>
              <wp:extent cx="731520" cy="128270"/>
              <wp:wrapNone/>
              <wp:docPr id="9" name="Shape 9"/>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2026-22948</w:t>
                          </w:r>
                        </w:p>
                      </w:txbxContent>
                    </wps:txbx>
                    <wps:bodyPr wrap="none" lIns="0" tIns="0" rIns="0" bIns="0">
                      <a:spAutoFit/>
                    </wps:bodyPr>
                  </wps:wsp>
                </a:graphicData>
              </a:graphic>
            </wp:anchor>
          </w:drawing>
        </mc:Choice>
        <mc:Fallback>
          <w:pict>
            <v:shape id="_x0000_s1035" type="#_x0000_t202" style="position:absolute;margin-left:57.050000000000004pt;margin-top:810.60000000000002pt;width:57.600000000000001pt;height:10.1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2026-22948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10094595</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2026-22948</w:t>
                          </w:r>
                        </w:p>
                      </w:txbxContent>
                    </wps:txbx>
                    <wps:bodyPr wrap="none" lIns="0" tIns="0" rIns="0" bIns="0">
                      <a:spAutoFit/>
                    </wps:bodyPr>
                  </wps:wsp>
                </a:graphicData>
              </a:graphic>
            </wp:anchor>
          </w:drawing>
        </mc:Choice>
        <mc:Fallback>
          <w:pict>
            <v:shape id="_x0000_s1039" type="#_x0000_t202" style="position:absolute;margin-left:57.200000000000003pt;margin-top:794.85000000000002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2026-22948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10094595</wp:posOffset>
              </wp:positionV>
              <wp:extent cx="722630" cy="103505"/>
              <wp:wrapNone/>
              <wp:docPr id="19" name="Shape 1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2026-22948</w:t>
                          </w:r>
                        </w:p>
                      </w:txbxContent>
                    </wps:txbx>
                    <wps:bodyPr wrap="none" lIns="0" tIns="0" rIns="0" bIns="0">
                      <a:spAutoFit/>
                    </wps:bodyPr>
                  </wps:wsp>
                </a:graphicData>
              </a:graphic>
            </wp:anchor>
          </w:drawing>
        </mc:Choice>
        <mc:Fallback>
          <w:pict>
            <v:shape id="_x0000_s1045" type="#_x0000_t202" style="position:absolute;margin-left:57.200000000000003pt;margin-top:794.85000000000002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2026-22948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3929380</wp:posOffset>
              </wp:positionH>
              <wp:positionV relativeFrom="page">
                <wp:posOffset>392430</wp:posOffset>
              </wp:positionV>
              <wp:extent cx="73025" cy="121920"/>
              <wp:wrapNone/>
              <wp:docPr id="7" name="Shape 7"/>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9.40000000000003pt;margin-top:30.900000000000002pt;width:5.75pt;height:9.5999999999999996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3887470</wp:posOffset>
              </wp:positionH>
              <wp:positionV relativeFrom="page">
                <wp:posOffset>473075</wp:posOffset>
              </wp:positionV>
              <wp:extent cx="152400" cy="121920"/>
              <wp:wrapNone/>
              <wp:docPr id="11" name="Shape 11"/>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6.10000000000002pt;margin-top:37.25pt;width:12.pt;height:9.5999999999999996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3929380</wp:posOffset>
              </wp:positionH>
              <wp:positionV relativeFrom="page">
                <wp:posOffset>392430</wp:posOffset>
              </wp:positionV>
              <wp:extent cx="73025" cy="121920"/>
              <wp:wrapNone/>
              <wp:docPr id="15" name="Shape 15"/>
              <a:graphic xmlns:a="http://schemas.openxmlformats.org/drawingml/2006/main">
                <a:graphicData uri="http://schemas.microsoft.com/office/word/2010/wordprocessingShape">
                  <wps:wsp>
                    <wps:cNvSpPr txBox="1"/>
                    <wps:spPr>
                      <a:xfrm>
                        <a:ext cx="73025"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9.40000000000003pt;margin-top:30.900000000000002pt;width:5.75pt;height:9.5999999999999996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3887470</wp:posOffset>
              </wp:positionH>
              <wp:positionV relativeFrom="page">
                <wp:posOffset>473075</wp:posOffset>
              </wp:positionV>
              <wp:extent cx="152400" cy="121920"/>
              <wp:wrapNone/>
              <wp:docPr id="17" name="Shape 17"/>
              <a:graphic xmlns:a="http://schemas.openxmlformats.org/drawingml/2006/main">
                <a:graphicData uri="http://schemas.microsoft.com/office/word/2010/wordprocessingShape">
                  <wps:wsp>
                    <wps:cNvSpPr txBox="1"/>
                    <wps:spPr>
                      <a:xfrm>
                        <a:ext cx="152400" cy="12192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6.10000000000002pt;margin-top:37.25pt;width:12.pt;height:9.5999999999999996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 (4)_"/>
    <w:basedOn w:val="DefaultParagraphFont"/>
    <w:link w:val="Style16"/>
    <w:rPr>
      <w:rFonts w:ascii="Georgia" w:eastAsia="Georgia" w:hAnsi="Georgia" w:cs="Georgia"/>
      <w:b w:val="0"/>
      <w:bCs w:val="0"/>
      <w:i w:val="0"/>
      <w:iCs w:val="0"/>
      <w:smallCaps w:val="0"/>
      <w:strike w:val="0"/>
      <w:color w:val="EBEBEB"/>
      <w:sz w:val="12"/>
      <w:szCs w:val="12"/>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24242"/>
      <w:sz w:val="12"/>
      <w:szCs w:val="12"/>
      <w:u w:val="none"/>
    </w:rPr>
  </w:style>
  <w:style w:type="character" w:customStyle="1" w:styleId="CharStyle24">
    <w:name w:val="Body text (5)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Body text (4)"/>
    <w:basedOn w:val="Normal"/>
    <w:link w:val="CharStyle17"/>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18">
    <w:name w:val="Body text (2)"/>
    <w:basedOn w:val="Normal"/>
    <w:link w:val="CharStyle19"/>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3">
    <w:name w:val="Body text (5)"/>
    <w:basedOn w:val="Normal"/>
    <w:link w:val="CharStyle24"/>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s>
</file>