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after="200"/>
        <w:ind w:left="0" w:right="0" w:firstLine="0"/>
        <w:jc w:val="center"/>
      </w:pPr>
      <w:r>
        <w:rPr>
          <w:rStyle w:val="CharStyle9"/>
          <w:b/>
          <w:bCs/>
        </w:rPr>
        <w:t>Федеральной антимонопольной службы</w:t>
        <w:br/>
        <w:t>по Еврейской автономной области</w:t>
      </w:r>
    </w:p>
    <w:p>
      <w:pPr>
        <w:pStyle w:val="Style5"/>
        <w:keepNext w:val="0"/>
        <w:keepLines w:val="0"/>
        <w:widowControl w:val="0"/>
        <w:shd w:val="clear" w:color="auto" w:fill="auto"/>
        <w:bidi w:val="0"/>
        <w:spacing w:before="0" w:after="0" w:line="305" w:lineRule="auto"/>
        <w:ind w:left="0" w:right="0" w:firstLine="0"/>
        <w:jc w:val="center"/>
      </w:pPr>
      <w:r>
        <w:rPr>
          <w:rStyle w:val="CharStyle6"/>
        </w:rPr>
        <w:t>ул. Постышева, 3, г. Биробиджан, ЕАО, 679014</w:t>
      </w:r>
    </w:p>
    <w:p>
      <w:pPr>
        <w:pStyle w:val="Style5"/>
        <w:keepNext w:val="0"/>
        <w:keepLines w:val="0"/>
        <w:widowControl w:val="0"/>
        <w:shd w:val="clear" w:color="auto" w:fill="auto"/>
        <w:bidi w:val="0"/>
        <w:spacing w:before="0" w:after="0" w:line="305" w:lineRule="auto"/>
        <w:ind w:left="0" w:right="0" w:firstLine="0"/>
        <w:jc w:val="center"/>
      </w:pPr>
      <w:r>
        <w:rPr>
          <w:rStyle w:val="CharStyle6"/>
        </w:rPr>
        <w:t>тел/фа кс (42622) 2-00-47, 2-11-47</w:t>
      </w:r>
    </w:p>
    <w:p>
      <w:pPr>
        <w:pStyle w:val="Style5"/>
        <w:keepNext w:val="0"/>
        <w:keepLines w:val="0"/>
        <w:widowControl w:val="0"/>
        <w:shd w:val="clear" w:color="auto" w:fill="auto"/>
        <w:bidi w:val="0"/>
        <w:spacing w:before="0" w:after="0" w:line="240" w:lineRule="auto"/>
        <w:ind w:left="0" w:right="0" w:firstLine="0"/>
        <w:jc w:val="center"/>
      </w:pPr>
      <w:r>
        <w:rPr>
          <w:rStyle w:val="CharStyle6"/>
          <w:lang w:val="en-US" w:eastAsia="en-US"/>
        </w:rPr>
        <w:t xml:space="preserve">e-mail: </w:t>
      </w:r>
      <w:r>
        <w:fldChar w:fldCharType="begin"/>
      </w:r>
      <w:r>
        <w:rPr/>
        <w:instrText> HYPERLINK "mailto:to79@fas.gov.ru" </w:instrText>
      </w:r>
      <w:r>
        <w:fldChar w:fldCharType="separate"/>
      </w:r>
      <w:r>
        <w:rPr>
          <w:rStyle w:val="CharStyle6"/>
          <w:lang w:val="en-US" w:eastAsia="en-US"/>
        </w:rPr>
        <w:t>to79@fas.gov.ru</w:t>
      </w:r>
      <w:r>
        <w:fldChar w:fldCharType="end"/>
      </w:r>
    </w:p>
    <w:p>
      <w:pPr>
        <w:pStyle w:val="Style5"/>
        <w:keepNext w:val="0"/>
        <w:keepLines w:val="0"/>
        <w:widowControl w:val="0"/>
        <w:shd w:val="clear" w:color="auto" w:fill="auto"/>
        <w:bidi w:val="0"/>
        <w:spacing w:before="0" w:after="40" w:line="240" w:lineRule="auto"/>
        <w:ind w:left="0" w:right="0" w:firstLine="0"/>
        <w:jc w:val="center"/>
      </w:pPr>
      <w:r>
        <w:fldChar w:fldCharType="begin"/>
      </w:r>
      <w:r>
        <w:rPr/>
        <w:instrText> HYPERLINK "https://eao.fas.gov.ru" </w:instrText>
      </w:r>
      <w:r>
        <w:fldChar w:fldCharType="separate"/>
      </w:r>
      <w:r>
        <w:rPr>
          <w:rStyle w:val="CharStyle6"/>
          <w:lang w:val="en-US" w:eastAsia="en-US"/>
        </w:rPr>
        <w:t>https://eao.fas.gov.ru</w:t>
      </w:r>
      <w:r>
        <w:fldChar w:fldCharType="end"/>
      </w:r>
    </w:p>
    <w:p>
      <w:pPr>
        <w:pStyle w:val="Style10"/>
        <w:keepNext w:val="0"/>
        <w:keepLines w:val="0"/>
        <w:widowControl w:val="0"/>
        <w:shd w:val="clear" w:color="auto" w:fill="auto"/>
        <w:tabs>
          <w:tab w:pos="1814" w:val="left"/>
        </w:tabs>
        <w:bidi w:val="0"/>
        <w:spacing w:before="0" w:line="240" w:lineRule="auto"/>
        <w:ind w:left="0" w:right="0" w:firstLine="0"/>
        <w:jc w:val="right"/>
      </w:pPr>
      <w:r>
        <w:rPr>
          <w:rStyle w:val="CharStyle11"/>
        </w:rPr>
        <w:t>1</w:t>
      </w:r>
      <w:r>
        <w:fldChar w:fldCharType="begin"/>
      </w:r>
      <w:r>
        <w:rPr/>
        <w:instrText> HYPERLINK "file://f207ca94-a13c-4ba0-b72d-f018c9eed8f1/" </w:instrText>
      </w:r>
      <w:r>
        <w:fldChar w:fldCharType="separate"/>
      </w:r>
      <w:r>
        <w:rPr>
          <w:rStyle w:val="CharStyle11"/>
        </w:rPr>
        <w:t>2,05.2026</w:t>
      </w:r>
      <w:r>
        <w:rPr>
          <w:rStyle w:val="CharStyle11"/>
          <w:u w:val="none"/>
        </w:rPr>
        <w:tab/>
      </w:r>
      <w:r>
        <w:fldChar w:fldCharType="end"/>
      </w:r>
      <w:r>
        <w:rPr>
          <w:rStyle w:val="CharStyle11"/>
          <w:u w:val="none"/>
        </w:rPr>
        <w:t xml:space="preserve">№ </w:t>
      </w:r>
      <w:r>
        <w:rPr>
          <w:rStyle w:val="CharStyle11"/>
        </w:rPr>
        <w:t>СС/568/26</w:t>
      </w:r>
    </w:p>
    <w:p>
      <w:pPr>
        <w:pStyle w:val="Style8"/>
        <w:keepNext w:val="0"/>
        <w:keepLines w:val="0"/>
        <w:widowControl w:val="0"/>
        <w:shd w:val="clear" w:color="auto" w:fill="auto"/>
        <w:bidi w:val="0"/>
        <w:spacing w:before="0" w:after="0" w:line="271" w:lineRule="auto"/>
        <w:ind w:left="0" w:right="0" w:firstLine="0"/>
        <w:jc w:val="center"/>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40" w:line="240" w:lineRule="auto"/>
        <w:ind w:left="0" w:right="0" w:firstLine="0"/>
        <w:jc w:val="left"/>
        <w:rPr>
          <w:sz w:val="24"/>
          <w:szCs w:val="24"/>
        </w:rPr>
      </w:pPr>
      <w:r>
        <w:rPr>
          <w:rStyle w:val="CharStyle15"/>
          <w:sz w:val="24"/>
          <w:szCs w:val="24"/>
        </w:rPr>
        <w:t xml:space="preserve">АО "Сбербанк-АСТ" </w:t>
      </w:r>
      <w:r>
        <w:fldChar w:fldCharType="begin"/>
      </w:r>
      <w:r>
        <w:rPr/>
        <w:instrText> HYPERLINK "mailto:ko@sberbank-ast.ru" </w:instrText>
      </w:r>
      <w:r>
        <w:fldChar w:fldCharType="separate"/>
      </w:r>
      <w:r>
        <w:rPr>
          <w:rStyle w:val="CharStyle15"/>
          <w:sz w:val="24"/>
          <w:szCs w:val="24"/>
          <w:lang w:val="en-US" w:eastAsia="en-US"/>
        </w:rPr>
        <w:t>ko@sberbank-ast.ru</w:t>
      </w:r>
      <w:r>
        <w:fldChar w:fldCharType="end"/>
      </w:r>
    </w:p>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ОБЩЕСТВО С ОГРАНИЧЕННОЙ ОТВЕТСТВЕННОСТЬЮ "КВАЗАР" 420049, РЕСПУБЛИКА ТАТАРСТАН (ТАТАРСТАН), Г. КАЗАНЬ, УЛ.</w:t>
      </w:r>
    </w:p>
    <w:p>
      <w:pPr>
        <w:pStyle w:val="Style14"/>
        <w:keepNext w:val="0"/>
        <w:keepLines w:val="0"/>
        <w:widowControl w:val="0"/>
        <w:shd w:val="clear" w:color="auto" w:fill="auto"/>
        <w:bidi w:val="0"/>
        <w:spacing w:before="0" w:after="240" w:line="240" w:lineRule="auto"/>
        <w:ind w:left="0" w:right="0" w:firstLine="0"/>
        <w:jc w:val="left"/>
        <w:rPr>
          <w:sz w:val="24"/>
          <w:szCs w:val="24"/>
        </w:rPr>
      </w:pPr>
      <w:r>
        <w:rPr>
          <w:rStyle w:val="CharStyle15"/>
          <w:sz w:val="24"/>
          <w:szCs w:val="24"/>
        </w:rPr>
        <w:t xml:space="preserve">ПОДГОРНАЯ, Д. 34 </w:t>
      </w:r>
      <w:r>
        <w:fldChar w:fldCharType="begin"/>
      </w:r>
      <w:r>
        <w:rPr/>
        <w:instrText> HYPERLINK "mailto:info@kvazar.ooo" </w:instrText>
      </w:r>
      <w:r>
        <w:fldChar w:fldCharType="separate"/>
      </w:r>
      <w:r>
        <w:rPr>
          <w:rStyle w:val="CharStyle15"/>
          <w:sz w:val="24"/>
          <w:szCs w:val="24"/>
          <w:lang w:val="en-US" w:eastAsia="en-US"/>
        </w:rPr>
        <w:t>info@kvazar.ooo</w:t>
      </w:r>
      <w:r>
        <w:fldChar w:fldCharType="end"/>
      </w:r>
    </w:p>
    <w:p>
      <w:pPr>
        <w:pStyle w:val="Style14"/>
        <w:keepNext w:val="0"/>
        <w:keepLines w:val="0"/>
        <w:widowControl w:val="0"/>
        <w:shd w:val="clear" w:color="auto" w:fill="auto"/>
        <w:bidi w:val="0"/>
        <w:spacing w:before="0" w:after="0" w:line="240" w:lineRule="auto"/>
        <w:ind w:left="0" w:right="0" w:firstLine="0"/>
        <w:jc w:val="left"/>
        <w:rPr>
          <w:sz w:val="24"/>
          <w:szCs w:val="24"/>
        </w:rPr>
        <w:sectPr>
          <w:footerReference w:type="default" r:id="rId7"/>
          <w:footerReference w:type="first" r:id="rId8"/>
          <w:footnotePr>
            <w:pos w:val="pageBottom"/>
            <w:numFmt w:val="decimal"/>
            <w:numRestart w:val="continuous"/>
          </w:footnotePr>
          <w:pgSz w:w="11900" w:h="16840"/>
          <w:pgMar w:top="279" w:right="1592" w:bottom="1212" w:left="1135" w:header="0" w:footer="3" w:gutter="0"/>
          <w:pgNumType w:start="1"/>
          <w:cols w:num="2" w:space="1184"/>
          <w:noEndnote/>
          <w:titlePg/>
          <w:rtlGutter w:val="0"/>
          <w:docGrid w:linePitch="360"/>
        </w:sectPr>
      </w:pPr>
      <w:r>
        <w:rPr>
          <w:rStyle w:val="CharStyle15"/>
          <w:sz w:val="24"/>
          <w:szCs w:val="24"/>
        </w:rPr>
        <w:t xml:space="preserve">УФНС по ЕАО </w:t>
      </w:r>
      <w:r>
        <w:fldChar w:fldCharType="begin"/>
      </w:r>
      <w:r>
        <w:rPr/>
        <w:instrText> HYPERLINK "mailto:oko.r7900@tax.gov.ru" </w:instrText>
      </w:r>
      <w:r>
        <w:fldChar w:fldCharType="separate"/>
      </w:r>
      <w:r>
        <w:rPr>
          <w:rStyle w:val="CharStyle15"/>
          <w:sz w:val="24"/>
          <w:szCs w:val="24"/>
          <w:lang w:val="en-US" w:eastAsia="en-US"/>
        </w:rPr>
        <w:t>oko.r7900@tax.gov.ru</w:t>
      </w:r>
      <w:r>
        <w:fldChar w:fldCharType="end"/>
      </w: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225" w:left="0" w:header="0" w:footer="3" w:gutter="0"/>
          <w:cols w:space="720"/>
          <w:noEndnote/>
          <w:rtlGutter w:val="0"/>
          <w:docGrid w:linePitch="360"/>
        </w:sectPr>
      </w:pPr>
    </w:p>
    <w:p>
      <w:pPr>
        <w:widowControl w:val="0"/>
        <w:spacing w:after="340" w:line="1" w:lineRule="exact"/>
      </w:pPr>
      <w:r>
        <w:drawing>
          <wp:anchor distT="0" distB="0" distL="0" distR="0" simplePos="0" relativeHeight="62914694" behindDoc="1" locked="0" layoutInCell="1" allowOverlap="1">
            <wp:simplePos x="0" y="0"/>
            <wp:positionH relativeFrom="page">
              <wp:posOffset>3122295</wp:posOffset>
            </wp:positionH>
            <wp:positionV relativeFrom="paragraph">
              <wp:posOffset>12700</wp:posOffset>
            </wp:positionV>
            <wp:extent cx="219710" cy="219710"/>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219710" cy="21971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79" w:right="541" w:bottom="1225" w:left="1101" w:header="0" w:footer="3" w:gutter="0"/>
          <w:cols w:space="720"/>
          <w:noEndnote/>
          <w:rtlGutter w:val="0"/>
          <w:docGrid w:linePitch="360"/>
        </w:sectPr>
      </w:pPr>
    </w:p>
    <w:p>
      <w:pPr>
        <w:widowControl w:val="0"/>
        <w:spacing w:line="240" w:lineRule="exact"/>
        <w:rPr>
          <w:sz w:val="19"/>
          <w:szCs w:val="19"/>
        </w:rPr>
      </w:pPr>
    </w:p>
    <w:p>
      <w:pPr>
        <w:widowControl w:val="0"/>
        <w:spacing w:before="77" w:after="7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05" w:right="0" w:bottom="1187"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РЕШЕНИЕ</w:t>
        <w:br/>
        <w:t>по делу № 079/06/105-47/2026</w:t>
        <w:br/>
      </w:r>
      <w:r>
        <w:rPr>
          <w:rStyle w:val="CharStyle15"/>
        </w:rPr>
        <w:t>о нарушении законодательства о закупках</w:t>
      </w:r>
    </w:p>
    <w:p>
      <w:pPr>
        <w:pStyle w:val="Style14"/>
        <w:keepNext w:val="0"/>
        <w:keepLines w:val="0"/>
        <w:widowControl w:val="0"/>
        <w:shd w:val="clear" w:color="auto" w:fill="auto"/>
        <w:tabs>
          <w:tab w:pos="8467" w:val="left"/>
        </w:tabs>
        <w:bidi w:val="0"/>
        <w:spacing w:before="0" w:after="0" w:line="240" w:lineRule="auto"/>
        <w:ind w:left="0" w:right="0" w:firstLine="0"/>
        <w:jc w:val="both"/>
      </w:pPr>
      <w:r>
        <w:rPr>
          <w:rStyle w:val="CharStyle15"/>
        </w:rPr>
        <w:t>Резолютивная часть решения объявлена «07» мая 2026 года</w:t>
        <w:tab/>
        <w:t>г. Биробиджан</w:t>
      </w:r>
    </w:p>
    <w:p>
      <w:pPr>
        <w:pStyle w:val="Style14"/>
        <w:keepNext w:val="0"/>
        <w:keepLines w:val="0"/>
        <w:widowControl w:val="0"/>
        <w:shd w:val="clear" w:color="auto" w:fill="auto"/>
        <w:bidi w:val="0"/>
        <w:spacing w:before="0" w:after="260" w:line="240" w:lineRule="auto"/>
        <w:ind w:left="0" w:right="0" w:firstLine="0"/>
        <w:jc w:val="both"/>
      </w:pPr>
      <w:r>
        <w:rPr>
          <w:rStyle w:val="CharStyle15"/>
        </w:rPr>
        <w:t>В полном объеме решение изготовлено «12» мая 2026 года</w:t>
      </w:r>
    </w:p>
    <w:p>
      <w:pPr>
        <w:pStyle w:val="Style14"/>
        <w:keepNext w:val="0"/>
        <w:keepLines w:val="0"/>
        <w:widowControl w:val="0"/>
        <w:shd w:val="clear" w:color="auto" w:fill="auto"/>
        <w:bidi w:val="0"/>
        <w:spacing w:before="0" w:after="320" w:line="240" w:lineRule="auto"/>
        <w:ind w:left="0" w:right="0" w:firstLine="740"/>
        <w:jc w:val="both"/>
      </w:pPr>
      <w:r>
        <w:rPr>
          <w:rStyle w:val="CharStyle15"/>
        </w:rPr>
        <w:t>Комиссия Управления Федеральной антимонопольной службы по Еврейской автономной области по контролю в сфере закупок (далее - Комиссия Еврейского УФАС России) в составе:</w:t>
      </w:r>
    </w:p>
    <w:tbl>
      <w:tblPr>
        <w:tblOverlap w:val="never"/>
        <w:jc w:val="center"/>
        <w:tblLayout w:type="fixed"/>
      </w:tblPr>
      <w:tblGrid>
        <w:gridCol w:w="5150"/>
        <w:gridCol w:w="5093"/>
      </w:tblGrid>
      <w:tr>
        <w:trPr>
          <w:trHeight w:val="734" w:hRule="exact"/>
        </w:trPr>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pPr>
            <w:r>
              <w:rPr>
                <w:rStyle w:val="CharStyle19"/>
              </w:rPr>
              <w:t>Председатель комиссии: - С.Н. Свирид</w:t>
            </w:r>
          </w:p>
        </w:tc>
        <w:tc>
          <w:tcPr>
            <w:tcBorders/>
            <w:shd w:val="clear" w:color="auto" w:fill="auto"/>
            <w:vAlign w:val="top"/>
          </w:tcPr>
          <w:p>
            <w:pPr>
              <w:pStyle w:val="Style18"/>
              <w:keepNext w:val="0"/>
              <w:keepLines w:val="0"/>
              <w:widowControl w:val="0"/>
              <w:shd w:val="clear" w:color="auto" w:fill="auto"/>
              <w:bidi w:val="0"/>
              <w:spacing w:before="0" w:after="0" w:line="240" w:lineRule="auto"/>
              <w:ind w:left="0" w:right="0" w:firstLine="140"/>
              <w:jc w:val="left"/>
            </w:pPr>
            <w:r>
              <w:rPr>
                <w:rStyle w:val="CharStyle19"/>
              </w:rPr>
              <w:t>- заместитель руководителя</w:t>
            </w:r>
          </w:p>
          <w:p>
            <w:pPr>
              <w:pStyle w:val="Style18"/>
              <w:keepNext w:val="0"/>
              <w:keepLines w:val="0"/>
              <w:widowControl w:val="0"/>
              <w:shd w:val="clear" w:color="auto" w:fill="auto"/>
              <w:bidi w:val="0"/>
              <w:spacing w:before="0" w:after="0" w:line="240" w:lineRule="auto"/>
              <w:ind w:left="0" w:right="0" w:firstLine="140"/>
              <w:jc w:val="left"/>
            </w:pPr>
            <w:r>
              <w:rPr>
                <w:rStyle w:val="CharStyle19"/>
              </w:rPr>
              <w:t>Еврейского УФАС России;</w:t>
            </w:r>
          </w:p>
        </w:tc>
      </w:tr>
      <w:tr>
        <w:trPr>
          <w:trHeight w:val="902" w:hRule="exact"/>
        </w:trPr>
        <w:tc>
          <w:tcPr>
            <w:tcBorders/>
            <w:shd w:val="clear" w:color="auto" w:fill="auto"/>
            <w:vAlign w:val="top"/>
          </w:tcPr>
          <w:p>
            <w:pPr>
              <w:pStyle w:val="Style18"/>
              <w:keepNext w:val="0"/>
              <w:keepLines w:val="0"/>
              <w:widowControl w:val="0"/>
              <w:shd w:val="clear" w:color="auto" w:fill="auto"/>
              <w:tabs>
                <w:tab w:pos="3010" w:val="left"/>
              </w:tabs>
              <w:bidi w:val="0"/>
              <w:spacing w:before="80" w:after="0" w:line="240" w:lineRule="auto"/>
              <w:ind w:left="0" w:right="0" w:firstLine="0"/>
              <w:jc w:val="left"/>
            </w:pPr>
            <w:r>
              <w:rPr>
                <w:rStyle w:val="CharStyle19"/>
              </w:rPr>
              <w:t>Члены комиссии:</w:t>
              <w:tab/>
              <w:t>- Т.В. Моисеева</w:t>
            </w:r>
          </w:p>
        </w:tc>
        <w:tc>
          <w:tcPr>
            <w:tcBorders/>
            <w:shd w:val="clear" w:color="auto" w:fill="auto"/>
            <w:vAlign w:val="center"/>
          </w:tcPr>
          <w:p>
            <w:pPr>
              <w:pStyle w:val="Style18"/>
              <w:keepNext w:val="0"/>
              <w:keepLines w:val="0"/>
              <w:widowControl w:val="0"/>
              <w:shd w:val="clear" w:color="auto" w:fill="auto"/>
              <w:bidi w:val="0"/>
              <w:spacing w:before="0" w:after="0" w:line="240" w:lineRule="auto"/>
              <w:ind w:left="140" w:right="0" w:firstLine="0"/>
              <w:jc w:val="left"/>
            </w:pPr>
            <w:r>
              <w:rPr>
                <w:rStyle w:val="CharStyle19"/>
              </w:rPr>
              <w:t>- главный специалист-эксперт Еврейского УФАС России;</w:t>
            </w:r>
          </w:p>
        </w:tc>
      </w:tr>
      <w:tr>
        <w:trPr>
          <w:trHeight w:val="744" w:hRule="exact"/>
        </w:trPr>
        <w:tc>
          <w:tcPr>
            <w:tcBorders/>
            <w:shd w:val="clear" w:color="auto" w:fill="auto"/>
            <w:vAlign w:val="center"/>
          </w:tcPr>
          <w:p>
            <w:pPr>
              <w:pStyle w:val="Style18"/>
              <w:keepNext w:val="0"/>
              <w:keepLines w:val="0"/>
              <w:widowControl w:val="0"/>
              <w:shd w:val="clear" w:color="auto" w:fill="auto"/>
              <w:bidi w:val="0"/>
              <w:spacing w:before="0" w:after="0" w:line="240" w:lineRule="auto"/>
              <w:ind w:left="0" w:right="460" w:firstLine="0"/>
              <w:jc w:val="right"/>
            </w:pPr>
            <w:r>
              <w:rPr>
                <w:rStyle w:val="CharStyle19"/>
              </w:rPr>
              <w:t>- Т.С. Кащенко</w:t>
            </w:r>
          </w:p>
        </w:tc>
        <w:tc>
          <w:tcPr>
            <w:tcBorders/>
            <w:shd w:val="clear" w:color="auto" w:fill="auto"/>
            <w:vAlign w:val="bottom"/>
          </w:tcPr>
          <w:p>
            <w:pPr>
              <w:pStyle w:val="Style18"/>
              <w:keepNext w:val="0"/>
              <w:keepLines w:val="0"/>
              <w:widowControl w:val="0"/>
              <w:shd w:val="clear" w:color="auto" w:fill="auto"/>
              <w:bidi w:val="0"/>
              <w:spacing w:before="0" w:after="0" w:line="240" w:lineRule="auto"/>
              <w:ind w:left="140" w:right="0" w:firstLine="0"/>
              <w:jc w:val="left"/>
            </w:pPr>
            <w:r>
              <w:rPr>
                <w:rStyle w:val="CharStyle19"/>
              </w:rPr>
              <w:t>- ведущий специалист-эксперт Еврейского УФАС России;</w:t>
            </w:r>
          </w:p>
        </w:tc>
      </w:tr>
    </w:tbl>
    <w:p>
      <w:pPr>
        <w:widowControl w:val="0"/>
        <w:spacing w:after="539" w:line="1" w:lineRule="exact"/>
      </w:pPr>
    </w:p>
    <w:p>
      <w:pPr>
        <w:pStyle w:val="Style14"/>
        <w:keepNext w:val="0"/>
        <w:keepLines w:val="0"/>
        <w:widowControl w:val="0"/>
        <w:shd w:val="clear" w:color="auto" w:fill="auto"/>
        <w:bidi w:val="0"/>
        <w:spacing w:before="0" w:after="0" w:line="240" w:lineRule="auto"/>
        <w:ind w:left="0" w:right="0" w:firstLine="740"/>
        <w:jc w:val="both"/>
      </w:pPr>
      <w:r>
        <w:rPr>
          <w:rStyle w:val="CharStyle15"/>
        </w:rPr>
        <w:t>-при участии представителей Заказчика - Управления Федеральной налоговой службы по Еврейской автономной области Савина Павла Владиславовича (копия доверенности б/н от 06.05.2026), Луполянской Веры Андреевны (копия доверенности б/н от 06.05.2026);</w:t>
      </w:r>
    </w:p>
    <w:p>
      <w:pPr>
        <w:pStyle w:val="Style14"/>
        <w:keepNext w:val="0"/>
        <w:keepLines w:val="0"/>
        <w:widowControl w:val="0"/>
        <w:shd w:val="clear" w:color="auto" w:fill="auto"/>
        <w:bidi w:val="0"/>
        <w:spacing w:before="0" w:after="420" w:line="240" w:lineRule="auto"/>
        <w:ind w:left="0" w:right="0" w:firstLine="740"/>
        <w:jc w:val="both"/>
      </w:pPr>
      <w:r>
        <w:rPr>
          <w:rStyle w:val="CharStyle15"/>
        </w:rPr>
        <w:t>- в отсутствие представителей Заявителя - Общества с ограниченной ответственностью «Квазар» (Ходатайство о рассмотрении жалобы без участия Заявителя</w:t>
      </w:r>
    </w:p>
    <w:p>
      <w:pPr>
        <w:pStyle w:val="Style20"/>
        <w:keepNext w:val="0"/>
        <w:keepLines w:val="0"/>
        <w:widowControl w:val="0"/>
        <w:shd w:val="clear" w:color="auto" w:fill="auto"/>
        <w:bidi w:val="0"/>
        <w:spacing w:before="0" w:line="240" w:lineRule="auto"/>
        <w:ind w:left="0" w:right="0" w:firstLine="0"/>
        <w:jc w:val="both"/>
      </w:pPr>
      <w:r>
        <w:rPr>
          <w:rStyle w:val="CharStyle21"/>
        </w:rPr>
        <w:t>IIIIIIIIIIIIIIIIIIIIIII</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вход. </w:t>
      </w:r>
      <w:r>
        <w:rPr>
          <w:rStyle w:val="CharStyle15"/>
          <w:lang w:val="en-US" w:eastAsia="en-US"/>
        </w:rPr>
        <w:t xml:space="preserve">1306/26 </w:t>
      </w:r>
      <w:r>
        <w:rPr>
          <w:rStyle w:val="CharStyle15"/>
        </w:rPr>
        <w:t xml:space="preserve">от </w:t>
      </w:r>
      <w:r>
        <w:rPr>
          <w:rStyle w:val="CharStyle15"/>
          <w:lang w:val="en-US" w:eastAsia="en-US"/>
        </w:rPr>
        <w:t>30.04.2026),</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рассмотрев жалобу: Общества с ограниченной ответственностью «Квазар» </w:t>
      </w:r>
      <w:r>
        <w:rPr>
          <w:rStyle w:val="CharStyle15"/>
          <w:lang w:val="en-US" w:eastAsia="en-US"/>
        </w:rPr>
        <w:t xml:space="preserve">(420049, </w:t>
      </w:r>
      <w:r>
        <w:rPr>
          <w:rStyle w:val="CharStyle15"/>
        </w:rPr>
        <w:t xml:space="preserve">Республика Татарстан, г. Казань, ул. Подгорная, д. </w:t>
      </w:r>
      <w:r>
        <w:rPr>
          <w:rStyle w:val="CharStyle15"/>
          <w:lang w:val="en-US" w:eastAsia="en-US"/>
        </w:rPr>
        <w:t xml:space="preserve">34 , </w:t>
      </w:r>
      <w:r>
        <w:rPr>
          <w:rStyle w:val="CharStyle15"/>
        </w:rPr>
        <w:t xml:space="preserve">ИНН </w:t>
      </w:r>
      <w:r>
        <w:rPr>
          <w:rStyle w:val="CharStyle15"/>
          <w:lang w:val="en-US" w:eastAsia="en-US"/>
        </w:rPr>
        <w:t xml:space="preserve">1655396813 ) </w:t>
      </w:r>
      <w:r>
        <w:rPr>
          <w:rStyle w:val="CharStyle15"/>
        </w:rPr>
        <w:t xml:space="preserve">от </w:t>
      </w:r>
      <w:r>
        <w:rPr>
          <w:rStyle w:val="CharStyle15"/>
          <w:lang w:val="en-US" w:eastAsia="en-US"/>
        </w:rPr>
        <w:t xml:space="preserve">29.04.2026 </w:t>
      </w:r>
      <w:r>
        <w:rPr>
          <w:rStyle w:val="CharStyle15"/>
        </w:rPr>
        <w:t xml:space="preserve">на действия государственного заказчика </w:t>
      </w:r>
      <w:r>
        <w:rPr>
          <w:rStyle w:val="CharStyle15"/>
          <w:lang w:val="en-US" w:eastAsia="en-US"/>
        </w:rPr>
        <w:t xml:space="preserve">- </w:t>
      </w:r>
      <w:r>
        <w:rPr>
          <w:rStyle w:val="CharStyle15"/>
        </w:rPr>
        <w:t xml:space="preserve">Управления Федеральной налоговой службы по Еврейской автономной области </w:t>
      </w:r>
      <w:r>
        <w:rPr>
          <w:rStyle w:val="CharStyle15"/>
          <w:lang w:val="en-US" w:eastAsia="en-US"/>
        </w:rPr>
        <w:t xml:space="preserve">(679016, </w:t>
      </w:r>
      <w:r>
        <w:rPr>
          <w:rStyle w:val="CharStyle15"/>
        </w:rPr>
        <w:t xml:space="preserve">Еврейская Аобл, Биробиджан г, 60-летия СССР пр- кт, Д. </w:t>
      </w:r>
      <w:r>
        <w:rPr>
          <w:rStyle w:val="CharStyle15"/>
          <w:lang w:val="en-US" w:eastAsia="en-US"/>
        </w:rPr>
        <w:t xml:space="preserve">24; </w:t>
      </w:r>
      <w:r>
        <w:rPr>
          <w:rStyle w:val="CharStyle15"/>
        </w:rPr>
        <w:t xml:space="preserve">ИНН: </w:t>
      </w:r>
      <w:r>
        <w:rPr>
          <w:rStyle w:val="CharStyle15"/>
          <w:lang w:val="en-US" w:eastAsia="en-US"/>
        </w:rPr>
        <w:t xml:space="preserve">7901004500), </w:t>
      </w:r>
      <w:r>
        <w:rPr>
          <w:rStyle w:val="CharStyle15"/>
        </w:rPr>
        <w:t xml:space="preserve">допущенных при осуществлении закупки путем проведения электронного аукциона, объектом которого является: Расходные материалы для многофункциональных устройств в рамках ИКТ (извещение от </w:t>
      </w:r>
      <w:r>
        <w:rPr>
          <w:rStyle w:val="CharStyle15"/>
          <w:lang w:val="en-US" w:eastAsia="en-US"/>
        </w:rPr>
        <w:t xml:space="preserve">24.04.2026 № 0178100001526000009), </w:t>
      </w:r>
      <w:r>
        <w:rPr>
          <w:rStyle w:val="CharStyle15"/>
        </w:rPr>
        <w:t xml:space="preserve">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Управление Федеральной антимонопольной службы по Еврейской автономной области поступила жалоба Общества с ограниченной ответственностью «Квазар» от </w:t>
      </w:r>
      <w:r>
        <w:rPr>
          <w:rStyle w:val="CharStyle15"/>
          <w:lang w:val="en-US" w:eastAsia="en-US"/>
        </w:rPr>
        <w:t xml:space="preserve">29.04.2026 № 20260018795000142 </w:t>
      </w:r>
      <w:r>
        <w:rPr>
          <w:rStyle w:val="CharStyle15"/>
        </w:rPr>
        <w:t xml:space="preserve">(вход. </w:t>
      </w:r>
      <w:r>
        <w:rPr>
          <w:rStyle w:val="CharStyle15"/>
          <w:lang w:val="en-US" w:eastAsia="en-US"/>
        </w:rPr>
        <w:t xml:space="preserve">№ 1306/26 </w:t>
      </w:r>
      <w:r>
        <w:rPr>
          <w:rStyle w:val="CharStyle15"/>
        </w:rPr>
        <w:t xml:space="preserve">от </w:t>
      </w:r>
      <w:r>
        <w:rPr>
          <w:rStyle w:val="CharStyle15"/>
          <w:lang w:val="en-US" w:eastAsia="en-US"/>
        </w:rPr>
        <w:t xml:space="preserve">30.04.2026) </w:t>
      </w:r>
      <w:r>
        <w:rPr>
          <w:rStyle w:val="CharStyle15"/>
        </w:rPr>
        <w:t xml:space="preserve">(далее </w:t>
      </w:r>
      <w:r>
        <w:rPr>
          <w:rStyle w:val="CharStyle15"/>
          <w:lang w:val="en-US" w:eastAsia="en-US"/>
        </w:rPr>
        <w:t xml:space="preserve">- </w:t>
      </w:r>
      <w:r>
        <w:rPr>
          <w:rStyle w:val="CharStyle15"/>
        </w:rPr>
        <w:t xml:space="preserve">ООО «Квазар», Заявитель) на действия государственного заказчика </w:t>
      </w:r>
      <w:r>
        <w:rPr>
          <w:rStyle w:val="CharStyle15"/>
          <w:lang w:val="en-US" w:eastAsia="en-US"/>
        </w:rPr>
        <w:t xml:space="preserve">- </w:t>
      </w:r>
      <w:r>
        <w:rPr>
          <w:rStyle w:val="CharStyle15"/>
        </w:rPr>
        <w:t xml:space="preserve">Управления Федеральной налоговой службы по Еврейской автономной области (далее </w:t>
      </w:r>
      <w:r>
        <w:rPr>
          <w:rStyle w:val="CharStyle15"/>
          <w:lang w:val="en-US" w:eastAsia="en-US"/>
        </w:rPr>
        <w:t xml:space="preserve">— </w:t>
      </w:r>
      <w:r>
        <w:rPr>
          <w:rStyle w:val="CharStyle15"/>
        </w:rPr>
        <w:t xml:space="preserve">УФНС по ЕАО, Заказчик), о нарушении требований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допущенных при осуществлении закупки путем проведения электронного аукциона, объектом которого является: Расходные материалы для многофункциональных устройств в рамках ИКТ (извещение от </w:t>
      </w:r>
      <w:r>
        <w:rPr>
          <w:rStyle w:val="CharStyle15"/>
          <w:lang w:val="en-US" w:eastAsia="en-US"/>
        </w:rPr>
        <w:t xml:space="preserve">24.04.2026 № 0178100001526000009) </w:t>
      </w:r>
      <w:r>
        <w:rPr>
          <w:rStyle w:val="CharStyle15"/>
        </w:rPr>
        <w:t>(далее -Аукцион).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Жалоба подана в соответствии с требованиями ст. </w:t>
      </w:r>
      <w:r>
        <w:rPr>
          <w:rStyle w:val="CharStyle15"/>
          <w:lang w:val="en-US" w:eastAsia="en-US"/>
        </w:rPr>
        <w:t xml:space="preserve">105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мнению Заявителя, его права и законные интересы нарушены действиями Заказчика неправомерно установившего код по общероссийскому классификатору продукции по видам экономической деятельности (далее </w:t>
      </w:r>
      <w:r>
        <w:rPr>
          <w:rStyle w:val="CharStyle15"/>
          <w:lang w:val="en-US" w:eastAsia="en-US"/>
        </w:rPr>
        <w:t xml:space="preserve">- </w:t>
      </w:r>
      <w:r>
        <w:rPr>
          <w:rStyle w:val="CharStyle15"/>
        </w:rPr>
        <w:t xml:space="preserve">ОКПД2), в частности код </w:t>
      </w:r>
      <w:r>
        <w:rPr>
          <w:rStyle w:val="CharStyle15"/>
          <w:lang w:val="en-US" w:eastAsia="en-US"/>
        </w:rPr>
        <w:t xml:space="preserve">28.23.25.000 </w:t>
      </w:r>
      <w:r>
        <w:rPr>
          <w:rStyle w:val="CharStyle15"/>
        </w:rPr>
        <w:t xml:space="preserve">«Части и принадлежности прочих офисных машин», в то время как, по мнению Заявителя, для закупаемого Заказчиком товара </w:t>
      </w:r>
      <w:r>
        <w:rPr>
          <w:rStyle w:val="CharStyle15"/>
          <w:lang w:val="en-US" w:eastAsia="en-US"/>
        </w:rPr>
        <w:t xml:space="preserve">- </w:t>
      </w:r>
      <w:r>
        <w:rPr>
          <w:rStyle w:val="CharStyle15"/>
        </w:rPr>
        <w:t xml:space="preserve">картриджей для лазерных печатающих устройств, соответствует код ОКПД2 </w:t>
      </w:r>
      <w:r>
        <w:rPr>
          <w:rStyle w:val="CharStyle15"/>
          <w:lang w:val="en-US" w:eastAsia="en-US"/>
        </w:rPr>
        <w:t xml:space="preserve">26.20.40.120 </w:t>
      </w:r>
      <w:r>
        <w:rPr>
          <w:rStyle w:val="CharStyle15"/>
        </w:rPr>
        <w:t xml:space="preserve">«Элементы замены типовые устройств ввода и вывода» и как следствие неправомерное установление в Извещении преимуществ в отношении товаров российского происхождения (в том числе поставляемых при выполнении закупаемых работ, оказании закупаемых услуг), в соответствии с положениями постановления Правительства Российской Федерации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w:t>
      </w:r>
      <w:r>
        <w:rPr>
          <w:rStyle w:val="CharStyle15"/>
          <w:lang w:val="en-US" w:eastAsia="en-US"/>
        </w:rPr>
        <w:t>№ 1875).</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Заявитель просит Комиссию Еврейского УФАС России провести проверку правомерности действий Заказчика, признать жалобу обоснованной и выдать предписание об устранении нарушений законодательства о контрактной системе в сфере закупок товаров, работ, услуг при проведении закупки.</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В адрес Еврейского УФАС России от Заказчика поступили возражения по доводам, изложенным в вышеуказанной жалобе от </w:t>
      </w:r>
      <w:r>
        <w:rPr>
          <w:rStyle w:val="CharStyle15"/>
          <w:lang w:val="en-US" w:eastAsia="en-US"/>
        </w:rPr>
        <w:t xml:space="preserve">05.05.2026 </w:t>
      </w:r>
      <w:r>
        <w:rPr>
          <w:rStyle w:val="CharStyle15"/>
        </w:rPr>
        <w:t xml:space="preserve">исх. </w:t>
      </w:r>
      <w:r>
        <w:rPr>
          <w:rStyle w:val="CharStyle15"/>
          <w:lang w:val="en-US" w:eastAsia="en-US"/>
        </w:rPr>
        <w:t xml:space="preserve">№ 02-11/04442@ </w:t>
      </w:r>
      <w:r>
        <w:rPr>
          <w:rStyle w:val="CharStyle15"/>
        </w:rPr>
        <w:t xml:space="preserve">(вход. </w:t>
      </w:r>
      <w:r>
        <w:rPr>
          <w:rStyle w:val="CharStyle15"/>
          <w:lang w:val="en-US" w:eastAsia="en-US"/>
        </w:rPr>
        <w:t xml:space="preserve">№ 1334- </w:t>
      </w:r>
      <w:r>
        <w:rPr>
          <w:rStyle w:val="CharStyle15"/>
        </w:rPr>
        <w:t xml:space="preserve">ЭП/26 от </w:t>
      </w:r>
      <w:r>
        <w:rPr>
          <w:rStyle w:val="CharStyle15"/>
          <w:lang w:val="en-US" w:eastAsia="en-US"/>
        </w:rPr>
        <w:t xml:space="preserve">06.05.2026) </w:t>
      </w:r>
      <w:r>
        <w:rPr>
          <w:rStyle w:val="CharStyle15"/>
        </w:rPr>
        <w:t>согласно которым Заказчик с доводами жалобы не согласен и считает ее необоснованной.</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На заседании Комиссии Еврейского УФАС России представители Заказчика доводы, изложенные в возражениях на жалобу, поддержали в полном объеме.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Изучив представленные документы, рассмотрев доводы жалобы, возражения на жалобу, руководствуясь</w:t>
      </w:r>
      <w:r>
        <w:rPr>
          <w:rStyle w:val="CharStyle15"/>
        </w:rPr>
        <w:t xml:space="preserve"> статьями </w:t>
      </w:r>
      <w:r>
        <w:rPr>
          <w:rStyle w:val="CharStyle15"/>
          <w:lang w:val="en-US" w:eastAsia="en-US"/>
        </w:rPr>
        <w:t>99</w:t>
      </w:r>
      <w:r>
        <w:rPr>
          <w:rStyle w:val="CharStyle15"/>
          <w:lang w:val="en-US" w:eastAsia="en-US"/>
        </w:rPr>
        <w:t>,</w:t>
      </w:r>
      <w:r>
        <w:rPr>
          <w:rStyle w:val="CharStyle15"/>
          <w:lang w:val="en-US" w:eastAsia="en-US"/>
        </w:rPr>
        <w:t xml:space="preserve"> 106 </w:t>
      </w:r>
      <w:r>
        <w:rPr>
          <w:rStyle w:val="CharStyle15"/>
        </w:rPr>
        <w:t>Закона о контрактной системе, Комиссия Еврейского УФАС России пришла к следующим выводам.</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соответствии с нормой, закрепленной в ст. </w:t>
      </w:r>
      <w:r>
        <w:rPr>
          <w:rStyle w:val="CharStyle15"/>
          <w:lang w:val="en-US" w:eastAsia="en-US"/>
        </w:rPr>
        <w:t xml:space="preserve">1 </w:t>
      </w:r>
      <w:r>
        <w:rPr>
          <w:rStyle w:val="CharStyle15"/>
        </w:rPr>
        <w:t>Закона о контрактной системе указанный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(ст. </w:t>
      </w:r>
      <w:r>
        <w:rPr>
          <w:rStyle w:val="CharStyle15"/>
          <w:lang w:val="en-US" w:eastAsia="en-US"/>
        </w:rPr>
        <w:t xml:space="preserve">6 </w:t>
      </w:r>
      <w:r>
        <w:rPr>
          <w:rStyle w:val="CharStyle15"/>
        </w:rPr>
        <w:t>Закона о контрактной системе).</w:t>
      </w:r>
    </w:p>
    <w:p>
      <w:pPr>
        <w:pStyle w:val="Style22"/>
        <w:keepNext/>
        <w:keepLines/>
        <w:widowControl w:val="0"/>
        <w:shd w:val="clear" w:color="auto" w:fill="auto"/>
        <w:bidi w:val="0"/>
        <w:spacing w:before="0" w:after="0" w:line="240" w:lineRule="auto"/>
        <w:ind w:left="0" w:right="0"/>
        <w:jc w:val="both"/>
      </w:pPr>
      <w:bookmarkStart w:id="0" w:name="bookmark0"/>
      <w:r>
        <w:rPr>
          <w:rStyle w:val="CharStyle23"/>
        </w:rPr>
        <w:t xml:space="preserve">Статьей </w:t>
      </w:r>
      <w:r>
        <w:rPr>
          <w:rStyle w:val="CharStyle23"/>
          <w:lang w:val="en-US" w:eastAsia="en-US"/>
        </w:rPr>
        <w:t xml:space="preserve">8 </w:t>
      </w:r>
      <w:r>
        <w:rPr>
          <w:rStyle w:val="CharStyle23"/>
        </w:rPr>
        <w:t>Закона о контрактной системе установлены следующие принципы обеспечения конкуренции:</w:t>
      </w:r>
      <w:bookmarkEnd w:id="0"/>
    </w:p>
    <w:p>
      <w:pPr>
        <w:pStyle w:val="Style14"/>
        <w:keepNext w:val="0"/>
        <w:keepLines w:val="0"/>
        <w:widowControl w:val="0"/>
        <w:numPr>
          <w:ilvl w:val="0"/>
          <w:numId w:val="1"/>
        </w:numPr>
        <w:shd w:val="clear" w:color="auto" w:fill="auto"/>
        <w:tabs>
          <w:tab w:pos="903" w:val="left"/>
        </w:tabs>
        <w:bidi w:val="0"/>
        <w:spacing w:before="0" w:after="0" w:line="240" w:lineRule="auto"/>
        <w:ind w:left="0" w:right="0" w:firstLine="580"/>
        <w:jc w:val="both"/>
      </w:pPr>
      <w:r>
        <w:rPr>
          <w:rStyle w:val="CharStyle15"/>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numPr>
          <w:ilvl w:val="0"/>
          <w:numId w:val="1"/>
        </w:numPr>
        <w:shd w:val="clear" w:color="auto" w:fill="auto"/>
        <w:tabs>
          <w:tab w:pos="913" w:val="left"/>
        </w:tabs>
        <w:bidi w:val="0"/>
        <w:spacing w:before="0" w:after="0" w:line="240" w:lineRule="auto"/>
        <w:ind w:left="0" w:right="0" w:firstLine="580"/>
        <w:jc w:val="both"/>
      </w:pPr>
      <w:r>
        <w:rPr>
          <w:rStyle w:val="CharStyle15"/>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580"/>
        <w:jc w:val="both"/>
      </w:pPr>
      <w:r>
        <w:rPr>
          <w:rStyle w:val="CharStyle15"/>
        </w:rPr>
        <w:t>Таким образом, при осуществлении закупок Заказчик обязан соблюдать требования Закона о контрактной системе.</w:t>
      </w:r>
    </w:p>
    <w:p>
      <w:pPr>
        <w:pStyle w:val="Style14"/>
        <w:keepNext w:val="0"/>
        <w:keepLines w:val="0"/>
        <w:widowControl w:val="0"/>
        <w:shd w:val="clear" w:color="auto" w:fill="auto"/>
        <w:bidi w:val="0"/>
        <w:spacing w:before="0" w:after="260" w:line="240" w:lineRule="auto"/>
        <w:ind w:left="0" w:right="0" w:firstLine="580"/>
        <w:jc w:val="both"/>
      </w:pPr>
      <w:r>
        <w:rPr>
          <w:rStyle w:val="CharStyle15"/>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w:t>
      </w:r>
      <w:r>
        <w:rPr>
          <w:rStyle w:val="CharStyle15"/>
          <w:lang w:val="en-US" w:eastAsia="en-US"/>
        </w:rPr>
        <w:t xml:space="preserve">1 </w:t>
      </w:r>
      <w:r>
        <w:rPr>
          <w:rStyle w:val="CharStyle15"/>
        </w:rPr>
        <w:t xml:space="preserve">статьи </w:t>
      </w:r>
      <w:r>
        <w:rPr>
          <w:rStyle w:val="CharStyle15"/>
          <w:lang w:val="en-US" w:eastAsia="en-US"/>
        </w:rPr>
        <w:t xml:space="preserve">1 </w:t>
      </w:r>
      <w:r>
        <w:rPr>
          <w:rStyle w:val="CharStyle15"/>
        </w:rPr>
        <w:t xml:space="preserve">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 (часть </w:t>
      </w:r>
      <w:r>
        <w:rPr>
          <w:rStyle w:val="CharStyle15"/>
          <w:lang w:val="en-US" w:eastAsia="en-US"/>
        </w:rPr>
        <w:t xml:space="preserve">1 </w:t>
      </w:r>
      <w:r>
        <w:rPr>
          <w:rStyle w:val="CharStyle15"/>
        </w:rPr>
        <w:t xml:space="preserve">статьи </w:t>
      </w:r>
      <w:r>
        <w:rPr>
          <w:rStyle w:val="CharStyle15"/>
          <w:lang w:val="en-US" w:eastAsia="en-US"/>
        </w:rPr>
        <w:t xml:space="preserve">2 </w:t>
      </w:r>
      <w:r>
        <w:rPr>
          <w:rStyle w:val="CharStyle15"/>
        </w:rPr>
        <w:t>Федерального закона о контрактной системе).</w:t>
      </w:r>
    </w:p>
    <w:p>
      <w:pPr>
        <w:pStyle w:val="Style14"/>
        <w:keepNext w:val="0"/>
        <w:keepLines w:val="0"/>
        <w:widowControl w:val="0"/>
        <w:shd w:val="clear" w:color="auto" w:fill="auto"/>
        <w:bidi w:val="0"/>
        <w:spacing w:before="0" w:after="260" w:line="240" w:lineRule="auto"/>
        <w:ind w:left="0" w:right="0" w:firstLine="740"/>
        <w:jc w:val="both"/>
      </w:pPr>
      <w:r>
        <w:rPr>
          <w:rStyle w:val="CharStyle15"/>
          <w:lang w:val="en-US" w:eastAsia="en-US"/>
        </w:rPr>
        <w:t xml:space="preserve">24 </w:t>
      </w:r>
      <w:r>
        <w:rPr>
          <w:rStyle w:val="CharStyle15"/>
        </w:rPr>
        <w:t xml:space="preserve">апреля </w:t>
      </w:r>
      <w:r>
        <w:rPr>
          <w:rStyle w:val="CharStyle15"/>
          <w:lang w:val="en-US" w:eastAsia="en-US"/>
        </w:rPr>
        <w:t xml:space="preserve">2026 </w:t>
      </w:r>
      <w:r>
        <w:rPr>
          <w:rStyle w:val="CharStyle15"/>
        </w:rPr>
        <w:t xml:space="preserve">года в ЕИС по адресу: </w:t>
      </w:r>
      <w:r>
        <w:rPr>
          <w:rStyle w:val="CharStyle15"/>
          <w:lang w:val="en-US" w:eastAsia="en-US"/>
        </w:rPr>
        <w:t>http://</w:t>
      </w:r>
      <w:r>
        <w:rPr>
          <w:rStyle w:val="CharStyle15"/>
          <w:color w:val="000080"/>
          <w:lang w:val="en-US" w:eastAsia="en-US"/>
        </w:rPr>
        <w:t>www.zaкupki.gov.ru</w:t>
      </w:r>
      <w:r>
        <w:rPr>
          <w:rStyle w:val="CharStyle15"/>
          <w:color w:val="000080"/>
          <w:lang w:val="en-US" w:eastAsia="en-US"/>
        </w:rPr>
        <w:t xml:space="preserve"> </w:t>
      </w:r>
      <w:r>
        <w:rPr>
          <w:rStyle w:val="CharStyle15"/>
        </w:rPr>
        <w:t>и на электронной</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площадке АО «Сбербанк </w:t>
      </w:r>
      <w:r>
        <w:rPr>
          <w:rStyle w:val="CharStyle15"/>
          <w:lang w:val="en-US" w:eastAsia="en-US"/>
        </w:rPr>
        <w:t xml:space="preserve">- </w:t>
      </w:r>
      <w:r>
        <w:rPr>
          <w:rStyle w:val="CharStyle15"/>
        </w:rPr>
        <w:t xml:space="preserve">АСТ» по адресу: </w:t>
      </w:r>
      <w:r>
        <w:fldChar w:fldCharType="begin"/>
      </w:r>
      <w:r>
        <w:rPr/>
        <w:instrText> HYPERLINK "http://www.sberbank-ast.ru" </w:instrText>
      </w:r>
      <w:r>
        <w:fldChar w:fldCharType="separate"/>
      </w:r>
      <w:r>
        <w:rPr>
          <w:rStyle w:val="CharStyle15"/>
          <w:lang w:val="en-US" w:eastAsia="en-US"/>
        </w:rPr>
        <w:t>http://www.sberbank-ast.ru</w:t>
      </w:r>
      <w:r>
        <w:fldChar w:fldCharType="end"/>
      </w:r>
      <w:r>
        <w:rPr>
          <w:rStyle w:val="CharStyle15"/>
          <w:lang w:val="en-US" w:eastAsia="en-US"/>
        </w:rPr>
        <w:t xml:space="preserve"> </w:t>
      </w:r>
      <w:r>
        <w:rPr>
          <w:rStyle w:val="CharStyle15"/>
        </w:rPr>
        <w:t xml:space="preserve">Заказчиком размещено извещение о проведении электронного аукциона </w:t>
      </w:r>
      <w:r>
        <w:rPr>
          <w:rStyle w:val="CharStyle15"/>
          <w:lang w:val="en-US" w:eastAsia="en-US"/>
        </w:rPr>
        <w:t xml:space="preserve">№ 0178100001526000009 </w:t>
      </w:r>
      <w:r>
        <w:rPr>
          <w:rStyle w:val="CharStyle15"/>
        </w:rPr>
        <w:t>и электронные документы.</w:t>
      </w:r>
    </w:p>
    <w:p>
      <w:pPr>
        <w:pStyle w:val="Style14"/>
        <w:keepNext w:val="0"/>
        <w:keepLines w:val="0"/>
        <w:widowControl w:val="0"/>
        <w:shd w:val="clear" w:color="auto" w:fill="auto"/>
        <w:bidi w:val="0"/>
        <w:spacing w:before="0" w:after="0" w:line="240" w:lineRule="auto"/>
        <w:ind w:left="0" w:right="0" w:firstLine="680"/>
        <w:jc w:val="both"/>
      </w:pPr>
      <w:r>
        <w:rPr>
          <w:rStyle w:val="CharStyle15"/>
        </w:rPr>
        <w:t xml:space="preserve">Извещение о проведении электронного аукциона </w:t>
      </w:r>
      <w:r>
        <w:rPr>
          <w:rStyle w:val="CharStyle15"/>
          <w:lang w:val="en-US" w:eastAsia="en-US"/>
        </w:rPr>
        <w:t xml:space="preserve">- </w:t>
      </w:r>
      <w:r>
        <w:rPr>
          <w:rStyle w:val="CharStyle15"/>
        </w:rPr>
        <w:t>содержит электронные документы, в том числе описание объекта закупки (Техническое задание).</w:t>
      </w:r>
    </w:p>
    <w:p>
      <w:pPr>
        <w:pStyle w:val="Style14"/>
        <w:keepNext w:val="0"/>
        <w:keepLines w:val="0"/>
        <w:widowControl w:val="0"/>
        <w:shd w:val="clear" w:color="auto" w:fill="auto"/>
        <w:bidi w:val="0"/>
        <w:spacing w:before="0" w:after="0" w:line="240" w:lineRule="auto"/>
        <w:ind w:left="0" w:right="0" w:firstLine="680"/>
        <w:jc w:val="both"/>
      </w:pPr>
      <w:r>
        <w:rPr>
          <w:rStyle w:val="CharStyle15"/>
        </w:rPr>
        <w:t xml:space="preserve">В извещении о проведении электронного аукциона </w:t>
      </w:r>
      <w:r>
        <w:rPr>
          <w:rStyle w:val="CharStyle15"/>
          <w:lang w:val="en-US" w:eastAsia="en-US"/>
        </w:rPr>
        <w:t xml:space="preserve">№ 0178100001526000009 </w:t>
      </w:r>
      <w:r>
        <w:rPr>
          <w:rStyle w:val="CharStyle15"/>
        </w:rPr>
        <w:t>указана следующая информация, в том числе:</w:t>
      </w:r>
    </w:p>
    <w:p>
      <w:pPr>
        <w:pStyle w:val="Style14"/>
        <w:keepNext w:val="0"/>
        <w:keepLines w:val="0"/>
        <w:widowControl w:val="0"/>
        <w:numPr>
          <w:ilvl w:val="0"/>
          <w:numId w:val="3"/>
        </w:numPr>
        <w:shd w:val="clear" w:color="auto" w:fill="auto"/>
        <w:tabs>
          <w:tab w:pos="824" w:val="left"/>
        </w:tabs>
        <w:bidi w:val="0"/>
        <w:spacing w:before="0" w:after="0" w:line="240" w:lineRule="auto"/>
        <w:ind w:left="0" w:right="0" w:firstLine="680"/>
        <w:jc w:val="both"/>
      </w:pPr>
      <w:r>
        <w:rPr>
          <w:rStyle w:val="CharStyle15"/>
        </w:rPr>
        <w:t xml:space="preserve">Заказчик </w:t>
      </w:r>
      <w:r>
        <w:rPr>
          <w:rStyle w:val="CharStyle15"/>
          <w:lang w:val="en-US" w:eastAsia="en-US"/>
        </w:rPr>
        <w:t xml:space="preserve">- </w:t>
      </w:r>
      <w:r>
        <w:rPr>
          <w:rStyle w:val="CharStyle15"/>
        </w:rPr>
        <w:t>Управления Федеральной налоговой службы по Еврейской автономной области</w:t>
      </w:r>
    </w:p>
    <w:p>
      <w:pPr>
        <w:pStyle w:val="Style14"/>
        <w:keepNext w:val="0"/>
        <w:keepLines w:val="0"/>
        <w:widowControl w:val="0"/>
        <w:numPr>
          <w:ilvl w:val="0"/>
          <w:numId w:val="3"/>
        </w:numPr>
        <w:shd w:val="clear" w:color="auto" w:fill="auto"/>
        <w:tabs>
          <w:tab w:pos="858" w:val="left"/>
        </w:tabs>
        <w:bidi w:val="0"/>
        <w:spacing w:before="0" w:after="0" w:line="240" w:lineRule="auto"/>
        <w:ind w:left="0" w:right="0" w:firstLine="680"/>
        <w:jc w:val="both"/>
      </w:pPr>
      <w:r>
        <w:rPr>
          <w:rStyle w:val="CharStyle15"/>
        </w:rPr>
        <w:t>наименование объекта закупки: Расходные материалы для многофункциональных устройств в рамках ИКТ;</w:t>
      </w:r>
    </w:p>
    <w:p>
      <w:pPr>
        <w:pStyle w:val="Style14"/>
        <w:keepNext w:val="0"/>
        <w:keepLines w:val="0"/>
        <w:widowControl w:val="0"/>
        <w:numPr>
          <w:ilvl w:val="0"/>
          <w:numId w:val="3"/>
        </w:numPr>
        <w:shd w:val="clear" w:color="auto" w:fill="auto"/>
        <w:tabs>
          <w:tab w:pos="1405" w:val="left"/>
        </w:tabs>
        <w:bidi w:val="0"/>
        <w:spacing w:before="0" w:after="0" w:line="240" w:lineRule="auto"/>
        <w:ind w:left="0" w:right="0" w:firstLine="680"/>
        <w:jc w:val="both"/>
      </w:pPr>
      <w:r>
        <w:rPr>
          <w:rStyle w:val="CharStyle15"/>
        </w:rPr>
        <w:t xml:space="preserve">начальная (максимальная) цена контракта: </w:t>
      </w:r>
      <w:r>
        <w:rPr>
          <w:rStyle w:val="CharStyle15"/>
          <w:lang w:val="en-US" w:eastAsia="en-US"/>
        </w:rPr>
        <w:t xml:space="preserve">210 075,25 </w:t>
      </w:r>
      <w:r>
        <w:rPr>
          <w:rStyle w:val="CharStyle15"/>
        </w:rPr>
        <w:t>руб.;</w:t>
      </w:r>
    </w:p>
    <w:p>
      <w:pPr>
        <w:pStyle w:val="Style14"/>
        <w:keepNext w:val="0"/>
        <w:keepLines w:val="0"/>
        <w:widowControl w:val="0"/>
        <w:shd w:val="clear" w:color="auto" w:fill="auto"/>
        <w:bidi w:val="0"/>
        <w:spacing w:before="0" w:after="0" w:line="240" w:lineRule="auto"/>
        <w:ind w:left="0" w:right="0" w:firstLine="680"/>
        <w:jc w:val="both"/>
      </w:pPr>
      <w:r>
        <w:rPr>
          <w:rStyle w:val="CharStyle15"/>
          <w:lang w:val="en-US" w:eastAsia="en-US"/>
        </w:rPr>
        <w:t xml:space="preserve">- </w:t>
      </w:r>
      <w:r>
        <w:rPr>
          <w:rStyle w:val="CharStyle15"/>
        </w:rPr>
        <w:t xml:space="preserve">ИКЗ: </w:t>
      </w:r>
      <w:r>
        <w:rPr>
          <w:rStyle w:val="CharStyle15"/>
          <w:lang w:val="en-US" w:eastAsia="en-US"/>
        </w:rPr>
        <w:t>261790100450079010100100260012823242;</w:t>
      </w:r>
    </w:p>
    <w:p>
      <w:pPr>
        <w:pStyle w:val="Style14"/>
        <w:keepNext w:val="0"/>
        <w:keepLines w:val="0"/>
        <w:widowControl w:val="0"/>
        <w:numPr>
          <w:ilvl w:val="0"/>
          <w:numId w:val="3"/>
        </w:numPr>
        <w:shd w:val="clear" w:color="auto" w:fill="auto"/>
        <w:tabs>
          <w:tab w:pos="1405" w:val="left"/>
        </w:tabs>
        <w:bidi w:val="0"/>
        <w:spacing w:before="0" w:after="0" w:line="240" w:lineRule="auto"/>
        <w:ind w:left="0" w:right="0" w:firstLine="680"/>
        <w:jc w:val="both"/>
      </w:pPr>
      <w:r>
        <w:rPr>
          <w:rStyle w:val="CharStyle15"/>
        </w:rPr>
        <w:t>объект закупки:</w:t>
      </w:r>
    </w:p>
    <w:tbl>
      <w:tblPr>
        <w:tblOverlap w:val="never"/>
        <w:jc w:val="center"/>
        <w:tblLayout w:type="fixed"/>
      </w:tblPr>
      <w:tblGrid>
        <w:gridCol w:w="1704"/>
        <w:gridCol w:w="1392"/>
        <w:gridCol w:w="734"/>
        <w:gridCol w:w="1589"/>
        <w:gridCol w:w="984"/>
        <w:gridCol w:w="1018"/>
        <w:gridCol w:w="1594"/>
        <w:gridCol w:w="1541"/>
      </w:tblGrid>
      <w:tr>
        <w:trPr>
          <w:trHeight w:val="2448" w:hRule="exact"/>
        </w:trPr>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Наименование товара, работы, услуги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Код позиции</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Тип позиц ии</w:t>
            </w:r>
          </w:p>
        </w:tc>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Знаки обслуживания, фирменные наименования, патенты, полезные модели, промышленны е образцы</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Единица измерен ия</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Цена за единицу</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Количество (объем работы, услуги)</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Стоимость позиции</w:t>
            </w:r>
          </w:p>
        </w:tc>
      </w:tr>
      <w:tr>
        <w:trPr>
          <w:trHeight w:val="926"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212433682</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20"/>
              <w:jc w:val="left"/>
              <w:rPr>
                <w:sz w:val="22"/>
                <w:szCs w:val="22"/>
              </w:rPr>
            </w:pPr>
            <w:r>
              <w:rPr>
                <w:rStyle w:val="CharStyle19"/>
                <w:sz w:val="22"/>
                <w:szCs w:val="22"/>
                <w:lang w:val="en-US" w:eastAsia="en-US"/>
              </w:rPr>
              <w:t>TL-5120Х</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820.50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20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240" w:right="0" w:firstLine="0"/>
              <w:jc w:val="center"/>
              <w:rPr>
                <w:sz w:val="22"/>
                <w:szCs w:val="22"/>
              </w:rPr>
            </w:pPr>
            <w:r>
              <w:rPr>
                <w:rStyle w:val="CharStyle19"/>
                <w:sz w:val="22"/>
                <w:szCs w:val="22"/>
                <w:lang w:val="en-US" w:eastAsia="en-US"/>
              </w:rPr>
              <w:t>16410.00</w:t>
            </w:r>
          </w:p>
        </w:tc>
      </w:tr>
      <w:tr>
        <w:trPr>
          <w:trHeight w:val="92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Фотобарабан</w:t>
            </w:r>
          </w:p>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Идентификатор: </w:t>
            </w:r>
            <w:r>
              <w:rPr>
                <w:rStyle w:val="CharStyle19"/>
                <w:sz w:val="22"/>
                <w:szCs w:val="22"/>
                <w:lang w:val="en-US" w:eastAsia="en-US"/>
              </w:rPr>
              <w:t>212433683</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DL-5120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917.00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10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9170.00</w:t>
            </w:r>
          </w:p>
        </w:tc>
      </w:tr>
      <w:tr>
        <w:trPr>
          <w:trHeight w:val="926"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212433684</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MLT-D203U</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1487.25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6</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8923.50</w:t>
            </w:r>
          </w:p>
        </w:tc>
      </w:tr>
      <w:tr>
        <w:trPr>
          <w:trHeight w:val="92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Картридж Идентификатор:</w:t>
            </w:r>
          </w:p>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212433685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W2030x</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1729.25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15</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25938.75</w:t>
            </w:r>
          </w:p>
        </w:tc>
      </w:tr>
      <w:tr>
        <w:trPr>
          <w:trHeight w:val="926"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212433686</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W2031x</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2003.50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10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20035.00</w:t>
            </w:r>
          </w:p>
        </w:tc>
      </w:tr>
      <w:tr>
        <w:trPr>
          <w:trHeight w:val="92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212433687</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W2032x</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1903.50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10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19035.00</w:t>
            </w:r>
          </w:p>
        </w:tc>
      </w:tr>
      <w:tr>
        <w:trPr>
          <w:trHeight w:val="926"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212433688</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W2033x</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1724.25</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10</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17242.50</w:t>
            </w:r>
          </w:p>
        </w:tc>
      </w:tr>
      <w:tr>
        <w:trPr>
          <w:trHeight w:val="1186" w:hRule="exact"/>
        </w:trPr>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Узел термозакреплен ия Идентификатор:</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301022227001</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rPr>
              <w:t>Штука</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6659.50</w:t>
            </w:r>
          </w:p>
        </w:tc>
        <w:tc>
          <w:tcPr>
            <w:tcBorders>
              <w:top w:val="single" w:sz="4"/>
              <w:left w:val="single" w:sz="4"/>
              <w:bottom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4</w:t>
            </w:r>
          </w:p>
        </w:tc>
        <w:tc>
          <w:tcPr>
            <w:tcBorders>
              <w:top w:val="single" w:sz="4"/>
              <w:left w:val="single" w:sz="4"/>
              <w:bottom w:val="single" w:sz="4"/>
              <w:right w:val="single" w:sz="4"/>
            </w:tcBorders>
            <w:shd w:val="clear" w:color="auto" w:fill="auto"/>
            <w:vAlign w:val="top"/>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26638.00</w:t>
            </w:r>
          </w:p>
        </w:tc>
      </w:tr>
    </w:tbl>
    <w:p>
      <w:pPr>
        <w:widowControl w:val="0"/>
        <w:spacing w:line="1" w:lineRule="exact"/>
      </w:pPr>
    </w:p>
    <w:tbl>
      <w:tblPr>
        <w:tblOverlap w:val="never"/>
        <w:jc w:val="center"/>
        <w:tblLayout w:type="fixed"/>
      </w:tblPr>
      <w:tblGrid>
        <w:gridCol w:w="1704"/>
        <w:gridCol w:w="1392"/>
        <w:gridCol w:w="734"/>
        <w:gridCol w:w="1589"/>
        <w:gridCol w:w="984"/>
        <w:gridCol w:w="1018"/>
        <w:gridCol w:w="1594"/>
        <w:gridCol w:w="1541"/>
      </w:tblGrid>
      <w:tr>
        <w:trPr>
          <w:trHeight w:val="42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212433689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181"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Петля (шарнир) крышки сканера Идентификатор: </w:t>
            </w:r>
            <w:r>
              <w:rPr>
                <w:rStyle w:val="CharStyle19"/>
                <w:sz w:val="22"/>
                <w:szCs w:val="22"/>
                <w:lang w:val="en-US" w:eastAsia="en-US"/>
              </w:rPr>
              <w:t>212433690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301022323001</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511.00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5</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2555.00</w:t>
            </w:r>
          </w:p>
        </w:tc>
      </w:tr>
      <w:tr>
        <w:trPr>
          <w:trHeight w:val="1430"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Ремонтный комплект для сканера Идентификатор: </w:t>
            </w:r>
            <w:r>
              <w:rPr>
                <w:rStyle w:val="CharStyle19"/>
                <w:sz w:val="22"/>
                <w:szCs w:val="22"/>
                <w:lang w:val="en-US" w:eastAsia="en-US"/>
              </w:rPr>
              <w:t>212433691</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DADF 604K85850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2"/>
                <w:szCs w:val="22"/>
              </w:rPr>
            </w:pPr>
            <w:r>
              <w:rPr>
                <w:rStyle w:val="CharStyle19"/>
                <w:sz w:val="22"/>
                <w:szCs w:val="22"/>
                <w:lang w:val="en-US" w:eastAsia="en-US"/>
              </w:rPr>
              <w:t>7072.50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4</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28290.00</w:t>
            </w:r>
          </w:p>
        </w:tc>
      </w:tr>
      <w:tr>
        <w:trPr>
          <w:trHeight w:val="922" w:hRule="exact"/>
        </w:trPr>
        <w:tc>
          <w:tcPr>
            <w:tcBorders>
              <w:top w:val="single" w:sz="4"/>
              <w:left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212433692</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CF325X</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2"/>
                <w:szCs w:val="22"/>
              </w:rPr>
            </w:pPr>
            <w:r>
              <w:rPr>
                <w:rStyle w:val="CharStyle19"/>
                <w:sz w:val="22"/>
                <w:szCs w:val="22"/>
              </w:rPr>
              <w:t>Штука</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2"/>
                <w:szCs w:val="22"/>
              </w:rPr>
            </w:pPr>
            <w:r>
              <w:rPr>
                <w:rStyle w:val="CharStyle19"/>
                <w:sz w:val="22"/>
                <w:szCs w:val="22"/>
                <w:lang w:val="en-US" w:eastAsia="en-US"/>
              </w:rPr>
              <w:t>6095.00</w:t>
            </w:r>
          </w:p>
        </w:tc>
        <w:tc>
          <w:tcPr>
            <w:tcBorders>
              <w:top w:val="single" w:sz="4"/>
              <w:lef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4</w:t>
            </w:r>
          </w:p>
        </w:tc>
        <w:tc>
          <w:tcPr>
            <w:tcBorders>
              <w:top w:val="single" w:sz="4"/>
              <w:left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24380.00</w:t>
            </w:r>
          </w:p>
        </w:tc>
      </w:tr>
      <w:tr>
        <w:trPr>
          <w:trHeight w:val="936" w:hRule="exact"/>
        </w:trPr>
        <w:tc>
          <w:tcPr>
            <w:tcBorders>
              <w:top w:val="single" w:sz="4"/>
              <w:left w:val="single" w:sz="4"/>
              <w:bottom w:val="single" w:sz="4"/>
            </w:tcBorders>
            <w:shd w:val="clear" w:color="auto" w:fill="auto"/>
            <w:vAlign w:val="bottom"/>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 xml:space="preserve">Картридж Идентификатор: </w:t>
            </w:r>
            <w:r>
              <w:rPr>
                <w:rStyle w:val="CharStyle19"/>
                <w:sz w:val="22"/>
                <w:szCs w:val="22"/>
                <w:lang w:val="en-US" w:eastAsia="en-US"/>
              </w:rPr>
              <w:t>212433693</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lang w:val="en-US" w:eastAsia="en-US"/>
              </w:rPr>
              <w:t>28.23.25.000</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left"/>
              <w:rPr>
                <w:sz w:val="22"/>
                <w:szCs w:val="22"/>
              </w:rPr>
            </w:pPr>
            <w:r>
              <w:rPr>
                <w:rStyle w:val="CharStyle19"/>
                <w:sz w:val="22"/>
                <w:szCs w:val="22"/>
              </w:rPr>
              <w:t>Товар</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C8543X</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80"/>
              <w:jc w:val="left"/>
              <w:rPr>
                <w:sz w:val="22"/>
                <w:szCs w:val="22"/>
              </w:rPr>
            </w:pPr>
            <w:r>
              <w:rPr>
                <w:rStyle w:val="CharStyle19"/>
                <w:sz w:val="22"/>
                <w:szCs w:val="22"/>
              </w:rPr>
              <w:t>Штука</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140"/>
              <w:jc w:val="left"/>
              <w:rPr>
                <w:sz w:val="22"/>
                <w:szCs w:val="22"/>
              </w:rPr>
            </w:pPr>
            <w:r>
              <w:rPr>
                <w:rStyle w:val="CharStyle19"/>
                <w:sz w:val="22"/>
                <w:szCs w:val="22"/>
                <w:lang w:val="en-US" w:eastAsia="en-US"/>
              </w:rPr>
              <w:t>5728.75</w:t>
            </w:r>
          </w:p>
        </w:tc>
        <w:tc>
          <w:tcPr>
            <w:tcBorders>
              <w:top w:val="single" w:sz="4"/>
              <w:left w:val="single" w:sz="4"/>
              <w:bottom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0"/>
              <w:jc w:val="center"/>
              <w:rPr>
                <w:sz w:val="22"/>
                <w:szCs w:val="22"/>
              </w:rPr>
            </w:pPr>
            <w:r>
              <w:rPr>
                <w:rStyle w:val="CharStyle19"/>
                <w:sz w:val="22"/>
                <w:szCs w:val="22"/>
                <w:lang w:val="en-US" w:eastAsia="en-US"/>
              </w:rPr>
              <w:t>2</w:t>
            </w:r>
          </w:p>
        </w:tc>
        <w:tc>
          <w:tcPr>
            <w:tcBorders>
              <w:top w:val="single" w:sz="4"/>
              <w:left w:val="single" w:sz="4"/>
              <w:bottom w:val="single" w:sz="4"/>
              <w:right w:val="single" w:sz="4"/>
            </w:tcBorders>
            <w:shd w:val="clear" w:color="auto" w:fill="auto"/>
            <w:vAlign w:val="center"/>
          </w:tcPr>
          <w:p>
            <w:pPr>
              <w:pStyle w:val="Style18"/>
              <w:keepNext w:val="0"/>
              <w:keepLines w:val="0"/>
              <w:widowControl w:val="0"/>
              <w:shd w:val="clear" w:color="auto" w:fill="auto"/>
              <w:bidi w:val="0"/>
              <w:spacing w:before="0" w:after="0" w:line="240" w:lineRule="auto"/>
              <w:ind w:left="0" w:right="0" w:firstLine="360"/>
              <w:jc w:val="left"/>
              <w:rPr>
                <w:sz w:val="22"/>
                <w:szCs w:val="22"/>
              </w:rPr>
            </w:pPr>
            <w:r>
              <w:rPr>
                <w:rStyle w:val="CharStyle19"/>
                <w:sz w:val="22"/>
                <w:szCs w:val="22"/>
                <w:lang w:val="en-US" w:eastAsia="en-US"/>
              </w:rPr>
              <w:t>11457.50</w:t>
            </w:r>
          </w:p>
        </w:tc>
      </w:tr>
    </w:tbl>
    <w:p>
      <w:pPr>
        <w:widowControl w:val="0"/>
        <w:spacing w:after="319" w:line="1" w:lineRule="exact"/>
      </w:pPr>
    </w:p>
    <w:p>
      <w:pPr>
        <w:pStyle w:val="Style14"/>
        <w:keepNext w:val="0"/>
        <w:keepLines w:val="0"/>
        <w:widowControl w:val="0"/>
        <w:numPr>
          <w:ilvl w:val="0"/>
          <w:numId w:val="3"/>
        </w:numPr>
        <w:shd w:val="clear" w:color="auto" w:fill="auto"/>
        <w:tabs>
          <w:tab w:pos="788" w:val="left"/>
        </w:tabs>
        <w:bidi w:val="0"/>
        <w:spacing w:before="0" w:after="0" w:line="240" w:lineRule="auto"/>
        <w:ind w:left="0" w:right="0" w:firstLine="680"/>
        <w:jc w:val="both"/>
      </w:pPr>
      <w:r>
        <w:rPr>
          <w:rStyle w:val="CharStyle15"/>
        </w:rPr>
        <w:t xml:space="preserve">преимущества: преимущество в соответствии с ч. </w:t>
      </w:r>
      <w:r>
        <w:rPr>
          <w:rStyle w:val="CharStyle15"/>
          <w:lang w:val="en-US" w:eastAsia="en-US"/>
        </w:rPr>
        <w:t xml:space="preserve">3 </w:t>
      </w:r>
      <w:r>
        <w:rPr>
          <w:rStyle w:val="CharStyle15"/>
        </w:rPr>
        <w:t xml:space="preserve">ст. </w:t>
      </w:r>
      <w:r>
        <w:rPr>
          <w:rStyle w:val="CharStyle15"/>
          <w:lang w:val="en-US" w:eastAsia="en-US"/>
        </w:rPr>
        <w:t xml:space="preserve">30 </w:t>
      </w:r>
      <w:r>
        <w:rPr>
          <w:rStyle w:val="CharStyle15"/>
        </w:rPr>
        <w:t>Закона о контрактной системе;</w:t>
      </w:r>
    </w:p>
    <w:p>
      <w:pPr>
        <w:pStyle w:val="Style14"/>
        <w:keepNext w:val="0"/>
        <w:keepLines w:val="0"/>
        <w:widowControl w:val="0"/>
        <w:numPr>
          <w:ilvl w:val="0"/>
          <w:numId w:val="3"/>
        </w:numPr>
        <w:shd w:val="clear" w:color="auto" w:fill="auto"/>
        <w:tabs>
          <w:tab w:pos="1405" w:val="left"/>
        </w:tabs>
        <w:bidi w:val="0"/>
        <w:spacing w:before="0" w:after="0" w:line="240" w:lineRule="auto"/>
        <w:ind w:left="0" w:right="0" w:firstLine="680"/>
        <w:jc w:val="both"/>
      </w:pPr>
      <w:r>
        <w:rPr>
          <w:rStyle w:val="CharStyle15"/>
        </w:rPr>
        <w:t xml:space="preserve">на участие в Аукционе подано </w:t>
      </w:r>
      <w:r>
        <w:rPr>
          <w:rStyle w:val="CharStyle15"/>
          <w:lang w:val="en-US" w:eastAsia="en-US"/>
        </w:rPr>
        <w:t xml:space="preserve">6 </w:t>
      </w:r>
      <w:r>
        <w:rPr>
          <w:rStyle w:val="CharStyle15"/>
        </w:rPr>
        <w:t>заявок от участников закупки.</w:t>
      </w:r>
    </w:p>
    <w:p>
      <w:pPr>
        <w:pStyle w:val="Style14"/>
        <w:keepNext w:val="0"/>
        <w:keepLines w:val="0"/>
        <w:widowControl w:val="0"/>
        <w:shd w:val="clear" w:color="auto" w:fill="auto"/>
        <w:bidi w:val="0"/>
        <w:spacing w:before="0" w:after="260" w:line="240" w:lineRule="auto"/>
        <w:ind w:left="0" w:right="0" w:firstLine="680"/>
        <w:jc w:val="both"/>
      </w:pPr>
      <w:r>
        <w:rPr>
          <w:rStyle w:val="CharStyle15"/>
        </w:rPr>
        <w:t xml:space="preserve">Итоги определения поставщика (подрядчика, исполнителя) отражены в протоколе </w:t>
      </w:r>
      <w:r>
        <w:fldChar w:fldCharType="begin"/>
      </w:r>
      <w:r>
        <w:rPr/>
        <w:instrText> HYPERLINK "https://zakupki.gov.ru/epz/order/notice/zk20/view/protocol/protocol-main-info.html?regNumber=0878500000226000346&amp;protocolId=51972067" </w:instrText>
      </w:r>
      <w:r>
        <w:fldChar w:fldCharType="separate"/>
      </w:r>
      <w:r>
        <w:rPr>
          <w:rStyle w:val="CharStyle15"/>
        </w:rPr>
        <w:t xml:space="preserve">от </w:t>
      </w:r>
      <w:r>
        <w:rPr>
          <w:rStyle w:val="CharStyle15"/>
          <w:lang w:val="en-US" w:eastAsia="en-US"/>
        </w:rPr>
        <w:t xml:space="preserve">05.05.2026 № </w:t>
      </w:r>
      <w:r>
        <w:rPr>
          <w:rStyle w:val="CharStyle15"/>
        </w:rPr>
        <w:t xml:space="preserve">ИЭА1. </w:t>
      </w:r>
      <w:r>
        <w:fldChar w:fldCharType="end"/>
      </w:r>
      <w:r>
        <w:rPr>
          <w:rStyle w:val="CharStyle15"/>
        </w:rPr>
        <w:t xml:space="preserve">По результатам подведения итогов определения поставщика (подрядчика, исполнителя) победителем электронного аукциона признается участник закупки с идентификационным номером заявки </w:t>
      </w:r>
      <w:r>
        <w:rPr>
          <w:rStyle w:val="CharStyle15"/>
          <w:lang w:val="en-US" w:eastAsia="en-US"/>
        </w:rPr>
        <w:t xml:space="preserve">- 83, </w:t>
      </w:r>
      <w:r>
        <w:rPr>
          <w:rStyle w:val="CharStyle15"/>
        </w:rPr>
        <w:t xml:space="preserve">заявка на участие в закупке которого соответствует требованиям, установленным в извещении об осуществлении закупки, с предложением о цене контракта /суммы цен единиц товара, работы, услуги </w:t>
      </w:r>
      <w:r>
        <w:rPr>
          <w:rStyle w:val="CharStyle15"/>
          <w:lang w:val="en-US" w:eastAsia="en-US"/>
        </w:rPr>
        <w:t xml:space="preserve">137 599,03 </w:t>
      </w:r>
      <w:r>
        <w:rPr>
          <w:rStyle w:val="CharStyle15"/>
        </w:rPr>
        <w:t>руб. (сто тридцать семь тысяч пятьсот девяносто девять рублей три копейки).</w:t>
      </w:r>
    </w:p>
    <w:p>
      <w:pPr>
        <w:pStyle w:val="Style14"/>
        <w:keepNext w:val="0"/>
        <w:keepLines w:val="0"/>
        <w:widowControl w:val="0"/>
        <w:shd w:val="clear" w:color="auto" w:fill="auto"/>
        <w:bidi w:val="0"/>
        <w:spacing w:before="0" w:after="0" w:line="240" w:lineRule="auto"/>
        <w:ind w:left="0" w:right="0" w:firstLine="68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680"/>
        <w:jc w:val="both"/>
      </w:pPr>
      <w:r>
        <w:rPr>
          <w:rStyle w:val="CharStyle15"/>
        </w:rPr>
        <w:t xml:space="preserve">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68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280" w:line="240" w:lineRule="auto"/>
        <w:ind w:left="0" w:right="0" w:firstLine="660"/>
        <w:jc w:val="both"/>
      </w:pPr>
      <w:r>
        <w:rPr>
          <w:rStyle w:val="CharStyle15"/>
        </w:rPr>
        <w:t xml:space="preserve">В соответствии с пунктом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контрактной системе при</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силу части </w:t>
      </w:r>
      <w:r>
        <w:rPr>
          <w:rStyle w:val="CharStyle15"/>
          <w:lang w:val="en-US" w:eastAsia="en-US"/>
        </w:rPr>
        <w:t xml:space="preserve">5 </w:t>
      </w:r>
      <w:r>
        <w:rPr>
          <w:rStyle w:val="CharStyle15"/>
        </w:rPr>
        <w:t xml:space="preserve">статьи </w:t>
      </w:r>
      <w:r>
        <w:rPr>
          <w:rStyle w:val="CharStyle15"/>
          <w:lang w:val="en-US" w:eastAsia="en-US"/>
        </w:rPr>
        <w:t xml:space="preserve">23 </w:t>
      </w:r>
      <w:r>
        <w:rPr>
          <w:rStyle w:val="CharStyle15"/>
        </w:rPr>
        <w:t>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Согласно постановлению Правительства от </w:t>
      </w:r>
      <w:r>
        <w:rPr>
          <w:rStyle w:val="CharStyle15"/>
          <w:lang w:val="en-US" w:eastAsia="en-US"/>
        </w:rPr>
        <w:t xml:space="preserve">08.02.2017 № 145 </w:t>
      </w:r>
      <w:r>
        <w:rPr>
          <w:rStyle w:val="CharStyle15"/>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Постановление </w:t>
      </w:r>
      <w:r>
        <w:rPr>
          <w:rStyle w:val="CharStyle15"/>
          <w:lang w:val="en-US" w:eastAsia="en-US"/>
        </w:rPr>
        <w:t xml:space="preserve">№ 145) </w:t>
      </w:r>
      <w:r>
        <w:rPr>
          <w:rStyle w:val="CharStyle15"/>
        </w:rPr>
        <w:t xml:space="preserve">установлено, что позиции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КТРУ) формируются в соответствии с пунктом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 утвержденных Постановлением.</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Пунктом </w:t>
      </w:r>
      <w:r>
        <w:rPr>
          <w:rStyle w:val="CharStyle15"/>
          <w:lang w:val="en-US" w:eastAsia="en-US"/>
        </w:rPr>
        <w:t xml:space="preserve">4 </w:t>
      </w:r>
      <w:r>
        <w:rPr>
          <w:rStyle w:val="CharStyle15"/>
        </w:rPr>
        <w:t xml:space="preserve">Правил установлено, что заказчики обязаны применять информацию, включенную в позицию КТРУ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Правил.</w:t>
      </w:r>
    </w:p>
    <w:p>
      <w:pPr>
        <w:pStyle w:val="Style14"/>
        <w:keepNext w:val="0"/>
        <w:keepLines w:val="0"/>
        <w:widowControl w:val="0"/>
        <w:shd w:val="clear" w:color="auto" w:fill="auto"/>
        <w:bidi w:val="0"/>
        <w:spacing w:before="0" w:after="260" w:line="240" w:lineRule="auto"/>
        <w:ind w:left="0" w:right="0" w:firstLine="560"/>
        <w:jc w:val="both"/>
      </w:pPr>
      <w:r>
        <w:rPr>
          <w:rStyle w:val="CharStyle15"/>
        </w:rPr>
        <w:t xml:space="preserve">При этом в пункте </w:t>
      </w:r>
      <w:r>
        <w:rPr>
          <w:rStyle w:val="CharStyle15"/>
          <w:lang w:val="en-US" w:eastAsia="en-US"/>
        </w:rPr>
        <w:t xml:space="preserve">7 </w:t>
      </w:r>
      <w:r>
        <w:rPr>
          <w:rStyle w:val="CharStyle15"/>
        </w:rPr>
        <w:t xml:space="preserve">Правил установлено, что в случае осуществления закупки товара, работы, услуги, в отношении которых в КТРУ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Комиссией Еврейского УФАС России установлено, что согласно Извещению объектом закупки является товар, соответствующий коду ОКПД2 </w:t>
      </w:r>
      <w:r>
        <w:rPr>
          <w:rStyle w:val="CharStyle15"/>
          <w:lang w:val="en-US" w:eastAsia="en-US"/>
        </w:rPr>
        <w:t xml:space="preserve">28.23.25.000 </w:t>
      </w:r>
      <w:r>
        <w:rPr>
          <w:rStyle w:val="CharStyle15"/>
        </w:rPr>
        <w:t>«Части и принадлежности прочих офисных машин».</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Представители Заказчика на заседании Комиссии пояснили, что Заказчиком приобретаются расходные материалы для офисного оборудования, которые включают в себя поставку картриджей для лазерных принтеров, в связи с чем Заказчиком установлен код ОКПД2 </w:t>
      </w:r>
      <w:r>
        <w:rPr>
          <w:rStyle w:val="CharStyle15"/>
          <w:lang w:val="en-US" w:eastAsia="en-US"/>
        </w:rPr>
        <w:t xml:space="preserve">28.23.25.000 </w:t>
      </w:r>
      <w:r>
        <w:rPr>
          <w:rStyle w:val="CharStyle15"/>
        </w:rPr>
        <w:t>«Части и принадлежности прочих офисных машин».</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Комиссией Еврейского УФАС России установлено, что код ОКПД2 </w:t>
      </w:r>
      <w:r>
        <w:rPr>
          <w:rStyle w:val="CharStyle15"/>
          <w:lang w:val="en-US" w:eastAsia="en-US"/>
        </w:rPr>
        <w:t xml:space="preserve">26.20.40.120 </w:t>
      </w:r>
      <w:r>
        <w:rPr>
          <w:rStyle w:val="CharStyle15"/>
        </w:rPr>
        <w:t>«Элементы замены типовые устройств ввода и вывода», содержит следующее описание:</w:t>
      </w:r>
    </w:p>
    <w:p>
      <w:pPr>
        <w:pStyle w:val="Style14"/>
        <w:keepNext w:val="0"/>
        <w:keepLines w:val="0"/>
        <w:widowControl w:val="0"/>
        <w:shd w:val="clear" w:color="auto" w:fill="auto"/>
        <w:bidi w:val="0"/>
        <w:spacing w:before="0" w:after="0" w:line="240" w:lineRule="auto"/>
        <w:ind w:left="0" w:right="0" w:firstLine="560"/>
        <w:jc w:val="both"/>
      </w:pPr>
      <w:r>
        <w:rPr>
          <w:rStyle w:val="CharStyle15"/>
        </w:rPr>
        <w:t>«Эта группировка в том числе включает:</w:t>
      </w:r>
    </w:p>
    <w:p>
      <w:pPr>
        <w:pStyle w:val="Style14"/>
        <w:keepNext w:val="0"/>
        <w:keepLines w:val="0"/>
        <w:widowControl w:val="0"/>
        <w:numPr>
          <w:ilvl w:val="0"/>
          <w:numId w:val="3"/>
        </w:numPr>
        <w:shd w:val="clear" w:color="auto" w:fill="auto"/>
        <w:tabs>
          <w:tab w:pos="1445" w:val="left"/>
        </w:tabs>
        <w:bidi w:val="0"/>
        <w:spacing w:before="0" w:after="0" w:line="240" w:lineRule="auto"/>
        <w:ind w:left="0" w:right="0" w:firstLine="720"/>
        <w:jc w:val="both"/>
      </w:pPr>
      <w:r>
        <w:rPr>
          <w:rStyle w:val="CharStyle15"/>
        </w:rPr>
        <w:t>емкости с тонером и тонерные отсеки для лазерных и светодиодных принтеров и</w:t>
      </w:r>
    </w:p>
    <w:p>
      <w:pPr>
        <w:pStyle w:val="Style14"/>
        <w:keepNext w:val="0"/>
        <w:keepLines w:val="0"/>
        <w:widowControl w:val="0"/>
        <w:shd w:val="clear" w:color="auto" w:fill="auto"/>
        <w:bidi w:val="0"/>
        <w:spacing w:before="0" w:after="0" w:line="240" w:lineRule="auto"/>
        <w:ind w:left="0" w:right="0" w:firstLine="0"/>
        <w:jc w:val="both"/>
      </w:pPr>
      <w:r>
        <w:rPr>
          <w:rStyle w:val="CharStyle15"/>
        </w:rPr>
        <w:t>многофункциональных печатающих устройств;</w:t>
      </w:r>
    </w:p>
    <w:p>
      <w:pPr>
        <w:pStyle w:val="Style14"/>
        <w:keepNext w:val="0"/>
        <w:keepLines w:val="0"/>
        <w:widowControl w:val="0"/>
        <w:numPr>
          <w:ilvl w:val="0"/>
          <w:numId w:val="3"/>
        </w:numPr>
        <w:shd w:val="clear" w:color="auto" w:fill="auto"/>
        <w:tabs>
          <w:tab w:pos="958" w:val="left"/>
        </w:tabs>
        <w:bidi w:val="0"/>
        <w:spacing w:before="0" w:after="0" w:line="240" w:lineRule="auto"/>
        <w:ind w:left="0" w:right="0" w:firstLine="720"/>
        <w:jc w:val="both"/>
      </w:pPr>
      <w:r>
        <w:rPr>
          <w:rStyle w:val="CharStyle15"/>
        </w:rPr>
        <w:t>фотопроводниковые блоки формирования изображения и блоки переноса (барабаны, ленты) для лазерных и светодиодных принтеров и многофункциональных печатающих устройств;</w:t>
      </w:r>
    </w:p>
    <w:p>
      <w:pPr>
        <w:pStyle w:val="Style14"/>
        <w:keepNext w:val="0"/>
        <w:keepLines w:val="0"/>
        <w:widowControl w:val="0"/>
        <w:numPr>
          <w:ilvl w:val="0"/>
          <w:numId w:val="3"/>
        </w:numPr>
        <w:shd w:val="clear" w:color="auto" w:fill="auto"/>
        <w:tabs>
          <w:tab w:pos="963" w:val="left"/>
        </w:tabs>
        <w:bidi w:val="0"/>
        <w:spacing w:before="0" w:after="0" w:line="240" w:lineRule="auto"/>
        <w:ind w:left="0" w:right="0" w:firstLine="720"/>
        <w:jc w:val="both"/>
      </w:pPr>
      <w:r>
        <w:rPr>
          <w:rStyle w:val="CharStyle15"/>
        </w:rPr>
        <w:t>картриджи однокомпонентные (в одном корпусе совмещен блок фотобарабана и тонерный отсек);</w:t>
      </w:r>
    </w:p>
    <w:p>
      <w:pPr>
        <w:pStyle w:val="Style14"/>
        <w:keepNext w:val="0"/>
        <w:keepLines w:val="0"/>
        <w:widowControl w:val="0"/>
        <w:numPr>
          <w:ilvl w:val="0"/>
          <w:numId w:val="3"/>
        </w:numPr>
        <w:shd w:val="clear" w:color="auto" w:fill="auto"/>
        <w:tabs>
          <w:tab w:pos="955" w:val="left"/>
        </w:tabs>
        <w:bidi w:val="0"/>
        <w:spacing w:before="0" w:after="0" w:line="240" w:lineRule="auto"/>
        <w:ind w:left="0" w:right="0" w:firstLine="720"/>
        <w:jc w:val="both"/>
      </w:pPr>
      <w:r>
        <w:rPr>
          <w:rStyle w:val="CharStyle15"/>
        </w:rPr>
        <w:t>емкости с магнитным носителем порошка (девелопер) для лазерных и светодиодных принтеров и многофункциональных печатающих устройств;</w:t>
      </w:r>
    </w:p>
    <w:p>
      <w:pPr>
        <w:pStyle w:val="Style14"/>
        <w:keepNext w:val="0"/>
        <w:keepLines w:val="0"/>
        <w:widowControl w:val="0"/>
        <w:numPr>
          <w:ilvl w:val="0"/>
          <w:numId w:val="3"/>
        </w:numPr>
        <w:shd w:val="clear" w:color="auto" w:fill="auto"/>
        <w:tabs>
          <w:tab w:pos="963" w:val="left"/>
        </w:tabs>
        <w:bidi w:val="0"/>
        <w:spacing w:before="0" w:after="0" w:line="240" w:lineRule="auto"/>
        <w:ind w:left="0" w:right="0" w:firstLine="720"/>
        <w:jc w:val="both"/>
      </w:pPr>
      <w:r>
        <w:rPr>
          <w:rStyle w:val="CharStyle15"/>
        </w:rPr>
        <w:t>емкости с чернилами для струйных, каплеструйных и твердочернильных принтеров и многофункциональных печатающих устройств, красящие ленты для матричных и литерных принтеров;</w:t>
      </w:r>
    </w:p>
    <w:p>
      <w:pPr>
        <w:pStyle w:val="Style14"/>
        <w:keepNext w:val="0"/>
        <w:keepLines w:val="0"/>
        <w:widowControl w:val="0"/>
        <w:numPr>
          <w:ilvl w:val="0"/>
          <w:numId w:val="3"/>
        </w:numPr>
        <w:shd w:val="clear" w:color="auto" w:fill="auto"/>
        <w:tabs>
          <w:tab w:pos="958" w:val="left"/>
        </w:tabs>
        <w:bidi w:val="0"/>
        <w:spacing w:before="0" w:after="0" w:line="240" w:lineRule="auto"/>
        <w:ind w:left="0" w:right="0" w:firstLine="720"/>
        <w:jc w:val="both"/>
      </w:pPr>
      <w:r>
        <w:rPr>
          <w:rStyle w:val="CharStyle15"/>
        </w:rPr>
        <w:t>картриджи для струйных и каплеструйных принтеров и многофункциональных печатающих устройств;</w:t>
      </w:r>
    </w:p>
    <w:p>
      <w:pPr>
        <w:pStyle w:val="Style14"/>
        <w:keepNext w:val="0"/>
        <w:keepLines w:val="0"/>
        <w:widowControl w:val="0"/>
        <w:numPr>
          <w:ilvl w:val="0"/>
          <w:numId w:val="3"/>
        </w:numPr>
        <w:shd w:val="clear" w:color="auto" w:fill="auto"/>
        <w:tabs>
          <w:tab w:pos="1118" w:val="left"/>
        </w:tabs>
        <w:bidi w:val="0"/>
        <w:spacing w:before="0" w:after="0" w:line="240" w:lineRule="auto"/>
        <w:ind w:left="0" w:right="0" w:firstLine="720"/>
        <w:jc w:val="both"/>
      </w:pPr>
      <w:r>
        <w:rPr>
          <w:rStyle w:val="CharStyle15"/>
        </w:rPr>
        <w:t>средства очистки системы печати для струйных, каплеструйных и твердочернильных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pPr>
        <w:pStyle w:val="Style14"/>
        <w:keepNext w:val="0"/>
        <w:keepLines w:val="0"/>
        <w:widowControl w:val="0"/>
        <w:numPr>
          <w:ilvl w:val="0"/>
          <w:numId w:val="3"/>
        </w:numPr>
        <w:shd w:val="clear" w:color="auto" w:fill="auto"/>
        <w:tabs>
          <w:tab w:pos="1445" w:val="left"/>
        </w:tabs>
        <w:bidi w:val="0"/>
        <w:spacing w:before="0" w:after="0" w:line="240" w:lineRule="auto"/>
        <w:ind w:left="0" w:right="0" w:firstLine="720"/>
        <w:jc w:val="both"/>
      </w:pPr>
      <w:r>
        <w:rPr>
          <w:rStyle w:val="CharStyle15"/>
        </w:rPr>
        <w:t>картриджи и прочие расходные материалы для сублимационных принтеров.»</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Согласно описанию объекта закупки Извещения (далее </w:t>
      </w:r>
      <w:r>
        <w:rPr>
          <w:rStyle w:val="CharStyle15"/>
          <w:lang w:val="en-US" w:eastAsia="en-US"/>
        </w:rPr>
        <w:t xml:space="preserve">- </w:t>
      </w:r>
      <w:r>
        <w:rPr>
          <w:rStyle w:val="CharStyle15"/>
        </w:rPr>
        <w:t xml:space="preserve">Описание объекта закупки) Заказчиком осуществляется закупка Товара для </w:t>
      </w:r>
      <w:r>
        <w:rPr>
          <w:rStyle w:val="CharStyle15"/>
          <w:lang w:val="en-US" w:eastAsia="en-US"/>
        </w:rPr>
        <w:t>Pantum BM5100FDW, Samsung ProXpress M3870FW, HP Color LaserJet Pro M454dn, HP LaserJet Enterprise M806dn, HP LaserJet 9050.</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Комиссией Еврейского УФАС России установлено, что поименованная техника является лазерной, при этом код ОКПД2 </w:t>
      </w:r>
      <w:r>
        <w:rPr>
          <w:rStyle w:val="CharStyle15"/>
          <w:lang w:val="en-US" w:eastAsia="en-US"/>
        </w:rPr>
        <w:t xml:space="preserve">26.20.40.120 </w:t>
      </w:r>
      <w:r>
        <w:rPr>
          <w:rStyle w:val="CharStyle15"/>
        </w:rPr>
        <w:t>«Элементы замены типовые устройств ввода и вывода» не содержит описания картриджа для лазерных принтеров.</w:t>
      </w:r>
    </w:p>
    <w:p>
      <w:pPr>
        <w:pStyle w:val="Style14"/>
        <w:keepNext w:val="0"/>
        <w:keepLines w:val="0"/>
        <w:widowControl w:val="0"/>
        <w:shd w:val="clear" w:color="auto" w:fill="auto"/>
        <w:bidi w:val="0"/>
        <w:spacing w:before="0" w:after="180" w:line="240" w:lineRule="auto"/>
        <w:ind w:left="0" w:right="0" w:firstLine="560"/>
        <w:jc w:val="both"/>
      </w:pPr>
      <w:r>
        <w:rPr>
          <w:rStyle w:val="CharStyle15"/>
        </w:rPr>
        <w:t xml:space="preserve">Таким образом, Комиссия Еврейского УФАС России приходит к выводу, что действия Заказчика в части установления в Извещении кода ОКПД2 </w:t>
      </w:r>
      <w:r>
        <w:rPr>
          <w:rStyle w:val="CharStyle15"/>
          <w:lang w:val="en-US" w:eastAsia="en-US"/>
        </w:rPr>
        <w:t xml:space="preserve">28.23.25.000 </w:t>
      </w:r>
      <w:r>
        <w:rPr>
          <w:rStyle w:val="CharStyle15"/>
        </w:rPr>
        <w:t>«Части и принадлежности прочих офисных машин» не противоречат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доводу жалобы Заявителя Заказчиком неправомерно установлено в Извещении преимущество, предусмотренное Постановлением </w:t>
      </w:r>
      <w:r>
        <w:rPr>
          <w:rStyle w:val="CharStyle15"/>
          <w:lang w:val="en-US" w:eastAsia="en-US"/>
        </w:rPr>
        <w:t xml:space="preserve">№ 1875, </w:t>
      </w:r>
      <w:r>
        <w:rPr>
          <w:rStyle w:val="CharStyle15"/>
        </w:rPr>
        <w:t>по причине установления Заказчиком неверного кода ОКПД2.</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соответствии с пунктом </w:t>
      </w:r>
      <w:r>
        <w:rPr>
          <w:rStyle w:val="CharStyle15"/>
          <w:lang w:val="en-US" w:eastAsia="en-US"/>
        </w:rPr>
        <w:t xml:space="preserve">15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Согласно подпункту "а" пункта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14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Правительство Российской Федерации вправе с учетом положений части </w:t>
      </w:r>
      <w:r>
        <w:rPr>
          <w:rStyle w:val="CharStyle15"/>
          <w:lang w:val="en-US" w:eastAsia="en-US"/>
        </w:rPr>
        <w:t xml:space="preserve">3 </w:t>
      </w:r>
      <w:r>
        <w:rPr>
          <w:rStyle w:val="CharStyle15"/>
        </w:rPr>
        <w:t xml:space="preserve">статьи </w:t>
      </w:r>
      <w:r>
        <w:rPr>
          <w:rStyle w:val="CharStyle15"/>
          <w:lang w:val="en-US" w:eastAsia="en-US"/>
        </w:rPr>
        <w:t xml:space="preserve">14 </w:t>
      </w:r>
      <w:r>
        <w:rPr>
          <w:rStyle w:val="CharStyle15"/>
        </w:rPr>
        <w:t>Закона о контрактной системе принимать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Пунктом </w:t>
      </w:r>
      <w:r>
        <w:rPr>
          <w:rStyle w:val="CharStyle15"/>
          <w:lang w:val="en-US" w:eastAsia="en-US"/>
        </w:rPr>
        <w:t xml:space="preserve">1 </w:t>
      </w:r>
      <w:r>
        <w:rPr>
          <w:rStyle w:val="CharStyle15"/>
        </w:rPr>
        <w:t xml:space="preserve">Постановления </w:t>
      </w:r>
      <w:r>
        <w:rPr>
          <w:rStyle w:val="CharStyle15"/>
          <w:lang w:val="en-US" w:eastAsia="en-US"/>
        </w:rPr>
        <w:t xml:space="preserve">№ 1875 </w:t>
      </w:r>
      <w:r>
        <w:rPr>
          <w:rStyle w:val="CharStyle15"/>
        </w:rPr>
        <w:t xml:space="preserve">устанавливается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Style w:val="CharStyle15"/>
          <w:lang w:val="en-US" w:eastAsia="en-US"/>
        </w:rPr>
        <w:t xml:space="preserve">№ 1 </w:t>
      </w:r>
      <w:r>
        <w:rPr>
          <w:rStyle w:val="CharStyle15"/>
        </w:rPr>
        <w:t xml:space="preserve">(далее </w:t>
      </w:r>
      <w:r>
        <w:rPr>
          <w:rStyle w:val="CharStyle15"/>
          <w:lang w:val="en-US" w:eastAsia="en-US"/>
        </w:rPr>
        <w:t xml:space="preserve">- </w:t>
      </w:r>
      <w:r>
        <w:rPr>
          <w:rStyle w:val="CharStyle15"/>
        </w:rPr>
        <w:t xml:space="preserve">Приложение </w:t>
      </w:r>
      <w:r>
        <w:rPr>
          <w:rStyle w:val="CharStyle15"/>
          <w:lang w:val="en-US" w:eastAsia="en-US"/>
        </w:rPr>
        <w:t xml:space="preserve">№ 1), </w:t>
      </w:r>
      <w:r>
        <w:rPr>
          <w:rStyle w:val="CharStyle15"/>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 xml:space="preserve">№ 2 </w:t>
      </w:r>
      <w:r>
        <w:rPr>
          <w:rStyle w:val="CharStyle15"/>
        </w:rPr>
        <w:t xml:space="preserve">(далее </w:t>
      </w:r>
      <w:r>
        <w:rPr>
          <w:rStyle w:val="CharStyle15"/>
          <w:lang w:val="en-US" w:eastAsia="en-US"/>
        </w:rPr>
        <w:t xml:space="preserve">- </w:t>
      </w:r>
      <w:r>
        <w:rPr>
          <w:rStyle w:val="CharStyle15"/>
        </w:rPr>
        <w:t xml:space="preserve">Приложение </w:t>
      </w:r>
      <w:r>
        <w:rPr>
          <w:rStyle w:val="CharStyle15"/>
          <w:lang w:val="en-US" w:eastAsia="en-US"/>
        </w:rPr>
        <w:t xml:space="preserve">№ 2), </w:t>
      </w:r>
      <w:r>
        <w:rPr>
          <w:rStyle w:val="CharStyle15"/>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В соответствии с подпунктом "б" пункта </w:t>
      </w:r>
      <w:r>
        <w:rPr>
          <w:rStyle w:val="CharStyle15"/>
          <w:lang w:val="en-US" w:eastAsia="en-US"/>
        </w:rPr>
        <w:t xml:space="preserve">4 </w:t>
      </w:r>
      <w:r>
        <w:rPr>
          <w:rStyle w:val="CharStyle15"/>
        </w:rPr>
        <w:t xml:space="preserve">Постановления </w:t>
      </w:r>
      <w:r>
        <w:rPr>
          <w:rStyle w:val="CharStyle15"/>
          <w:lang w:val="en-US" w:eastAsia="en-US"/>
        </w:rPr>
        <w:t xml:space="preserve">№ 1875 </w:t>
      </w:r>
      <w:r>
        <w:rPr>
          <w:rStyle w:val="CharStyle15"/>
        </w:rPr>
        <w:t xml:space="preserve">если объект закупки (предмет закупки) включает хотя бы один товар, не указанный в приложении </w:t>
      </w:r>
      <w:r>
        <w:rPr>
          <w:rStyle w:val="CharStyle15"/>
          <w:lang w:val="en-US" w:eastAsia="en-US"/>
        </w:rPr>
        <w:t xml:space="preserve">№ 1 </w:t>
      </w:r>
      <w:r>
        <w:rPr>
          <w:rStyle w:val="CharStyle15"/>
        </w:rPr>
        <w:t xml:space="preserve">к Постановлению </w:t>
      </w:r>
      <w:r>
        <w:rPr>
          <w:rStyle w:val="CharStyle15"/>
          <w:lang w:val="en-US" w:eastAsia="en-US"/>
        </w:rPr>
        <w:t xml:space="preserve">№ 1875 </w:t>
      </w:r>
      <w:r>
        <w:rPr>
          <w:rStyle w:val="CharStyle15"/>
        </w:rPr>
        <w:t xml:space="preserve">и приложении </w:t>
      </w:r>
      <w:r>
        <w:rPr>
          <w:rStyle w:val="CharStyle15"/>
          <w:lang w:val="en-US" w:eastAsia="en-US"/>
        </w:rPr>
        <w:t xml:space="preserve">№ 2 </w:t>
      </w:r>
      <w:r>
        <w:rPr>
          <w:rStyle w:val="CharStyle15"/>
        </w:rPr>
        <w:t xml:space="preserve">к Постановлению </w:t>
      </w:r>
      <w:r>
        <w:rPr>
          <w:rStyle w:val="CharStyle15"/>
          <w:lang w:val="en-US" w:eastAsia="en-US"/>
        </w:rPr>
        <w:t xml:space="preserve">№ 1875, </w:t>
      </w:r>
      <w:r>
        <w:rPr>
          <w:rStyle w:val="CharStyle15"/>
        </w:rPr>
        <w:t xml:space="preserve">в отношении заявки, содержащей предложение о поставке товаров (в том числе поставляемых при выполнении закупаемых работ, оказании закупаемых услуг) только российского происхождения, применяется предусмотренное пунктом </w:t>
      </w:r>
      <w:r>
        <w:rPr>
          <w:rStyle w:val="CharStyle15"/>
          <w:lang w:val="en-US" w:eastAsia="en-US"/>
        </w:rPr>
        <w:t xml:space="preserve">1 </w:t>
      </w:r>
      <w:r>
        <w:rPr>
          <w:rStyle w:val="CharStyle15"/>
        </w:rPr>
        <w:t xml:space="preserve">Постановления </w:t>
      </w:r>
      <w:r>
        <w:rPr>
          <w:rStyle w:val="CharStyle15"/>
          <w:lang w:val="en-US" w:eastAsia="en-US"/>
        </w:rPr>
        <w:t xml:space="preserve">№ 1875 </w:t>
      </w:r>
      <w:r>
        <w:rPr>
          <w:rStyle w:val="CharStyle15"/>
        </w:rPr>
        <w:t>преимущество.</w:t>
      </w:r>
    </w:p>
    <w:p>
      <w:pPr>
        <w:pStyle w:val="Style14"/>
        <w:keepNext w:val="0"/>
        <w:keepLines w:val="0"/>
        <w:widowControl w:val="0"/>
        <w:shd w:val="clear" w:color="auto" w:fill="auto"/>
        <w:bidi w:val="0"/>
        <w:spacing w:before="0" w:after="0" w:line="240" w:lineRule="auto"/>
        <w:ind w:left="0" w:right="0" w:firstLine="560"/>
        <w:jc w:val="both"/>
      </w:pPr>
      <w:r>
        <w:rPr>
          <w:rStyle w:val="CharStyle15"/>
        </w:rPr>
        <w:t xml:space="preserve">При этом Комиссией установлено, что код ОКПД2 </w:t>
      </w:r>
      <w:r>
        <w:rPr>
          <w:rStyle w:val="CharStyle15"/>
          <w:lang w:val="en-US" w:eastAsia="en-US"/>
        </w:rPr>
        <w:t xml:space="preserve">28.23.25.000 </w:t>
      </w:r>
      <w:r>
        <w:rPr>
          <w:rStyle w:val="CharStyle15"/>
        </w:rPr>
        <w:t xml:space="preserve">«Части и принадлежности прочих офисных машин» отсутствует в Приложениях </w:t>
      </w:r>
      <w:r>
        <w:rPr>
          <w:rStyle w:val="CharStyle15"/>
          <w:lang w:val="en-US" w:eastAsia="en-US"/>
        </w:rPr>
        <w:t xml:space="preserve">№ 1 </w:t>
      </w:r>
      <w:r>
        <w:rPr>
          <w:rStyle w:val="CharStyle15"/>
        </w:rPr>
        <w:t xml:space="preserve">и </w:t>
      </w:r>
      <w:r>
        <w:rPr>
          <w:rStyle w:val="CharStyle15"/>
          <w:lang w:val="en-US" w:eastAsia="en-US"/>
        </w:rPr>
        <w:t xml:space="preserve">№ 2 </w:t>
      </w:r>
      <w:r>
        <w:rPr>
          <w:rStyle w:val="CharStyle15"/>
        </w:rPr>
        <w:t xml:space="preserve">к Постановлению </w:t>
      </w:r>
      <w:r>
        <w:rPr>
          <w:rStyle w:val="CharStyle15"/>
          <w:lang w:val="en-US" w:eastAsia="en-US"/>
        </w:rPr>
        <w:t>№ 1875.</w:t>
      </w:r>
    </w:p>
    <w:p>
      <w:pPr>
        <w:pStyle w:val="Style14"/>
        <w:keepNext w:val="0"/>
        <w:keepLines w:val="0"/>
        <w:widowControl w:val="0"/>
        <w:shd w:val="clear" w:color="auto" w:fill="auto"/>
        <w:bidi w:val="0"/>
        <w:spacing w:before="0" w:after="260" w:line="240" w:lineRule="auto"/>
        <w:ind w:left="0" w:right="0" w:firstLine="560"/>
        <w:jc w:val="both"/>
      </w:pPr>
      <w:r>
        <w:rPr>
          <w:rStyle w:val="CharStyle15"/>
        </w:rPr>
        <w:t xml:space="preserve">Учитывая изложенное, Комиссия Еврейского УФАС России приходит к выводу, что действия Заказчика в части установления в Извещении преимуществ в отношении товаров российского происхождения (в том числе поставляемых при выполнении закупаемых работ, оказании закупаемых услуг) в соответствии с Постановлением </w:t>
      </w:r>
      <w:r>
        <w:rPr>
          <w:rStyle w:val="CharStyle15"/>
          <w:lang w:val="en-US" w:eastAsia="en-US"/>
        </w:rPr>
        <w:t xml:space="preserve">№ 1875, </w:t>
      </w:r>
      <w:r>
        <w:rPr>
          <w:rStyle w:val="CharStyle15"/>
        </w:rPr>
        <w:t>не противоречат требованиям Закона о контрактной системе.</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На основании изложенного Комиссия Еврейского УФАС России пришла к выводу об отсутствии в действиях Заказчика нарушений требований Закона о контрактной системе. Следовательно, доводы жалобы Заявителя не нашли своего подтверждения.</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 xml:space="preserve">На основании вышеизложенного, руководствуясь ст. </w:t>
      </w:r>
      <w:r>
        <w:rPr>
          <w:rStyle w:val="CharStyle15"/>
          <w:lang w:val="en-US" w:eastAsia="en-US"/>
        </w:rPr>
        <w:t xml:space="preserve">99, 106, 107 </w:t>
      </w:r>
      <w:r>
        <w:rPr>
          <w:rStyle w:val="CharStyle15"/>
        </w:rPr>
        <w:t xml:space="preserve">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 Комиссия Еврейского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260" w:line="240" w:lineRule="auto"/>
        <w:ind w:left="0" w:right="0" w:firstLine="740"/>
        <w:jc w:val="both"/>
      </w:pPr>
      <w:r>
        <w:rPr>
          <w:rStyle w:val="CharStyle15"/>
        </w:rPr>
        <w:t xml:space="preserve">Жалобу Общества с ограниченной ответственностью «Квазар» на действия государственного заказчика </w:t>
      </w:r>
      <w:r>
        <w:rPr>
          <w:rStyle w:val="CharStyle15"/>
          <w:lang w:val="en-US" w:eastAsia="en-US"/>
        </w:rPr>
        <w:t xml:space="preserve">- </w:t>
      </w:r>
      <w:r>
        <w:rPr>
          <w:rStyle w:val="CharStyle15"/>
        </w:rPr>
        <w:t xml:space="preserve">Управления Федеральной налоговой службы по Еврейской автономной области о нарушении требований Федерального закона от </w:t>
      </w:r>
      <w:r>
        <w:rPr>
          <w:rStyle w:val="CharStyle15"/>
          <w:lang w:val="en-US" w:eastAsia="en-US"/>
        </w:rPr>
        <w:t xml:space="preserve">05.04.2013 № </w:t>
      </w:r>
      <w:r>
        <w:rPr>
          <w:rStyle w:val="CharStyle15"/>
        </w:rPr>
        <w:t>44-ФЗ «О контрактной системе в сфере закупок товаров, работ, услуг для обеспечения государственных и муниципальных нужд», допущенных при осуществлении закупки для государственных нужд, путем проведения электронного аукциона, объектом которого</w:t>
      </w:r>
      <w:r>
        <w:br w:type="page"/>
      </w:r>
    </w:p>
    <w:p>
      <w:pPr>
        <w:pStyle w:val="Style14"/>
        <w:keepNext w:val="0"/>
        <w:keepLines w:val="0"/>
        <w:widowControl w:val="0"/>
        <w:shd w:val="clear" w:color="auto" w:fill="auto"/>
        <w:bidi w:val="0"/>
        <w:spacing w:before="0" w:after="560" w:line="240" w:lineRule="auto"/>
        <w:ind w:left="0" w:right="0" w:firstLine="0"/>
        <w:jc w:val="left"/>
      </w:pPr>
      <w:r>
        <w:rPr>
          <w:rStyle w:val="CharStyle15"/>
        </w:rPr>
        <w:t xml:space="preserve">является: Расходные материалы для многофункциональных устройств в рамках ИКТ (извещение от </w:t>
      </w:r>
      <w:r>
        <w:rPr>
          <w:rStyle w:val="CharStyle15"/>
          <w:lang w:val="en-US" w:eastAsia="en-US"/>
        </w:rPr>
        <w:t xml:space="preserve">24.04.2026 № 0178100001526000009) </w:t>
      </w:r>
      <w:r>
        <w:rPr>
          <w:rStyle w:val="CharStyle15"/>
        </w:rPr>
        <w:t>признать необоснованной.</w:t>
      </w:r>
    </w:p>
    <w:p>
      <w:pPr>
        <w:pStyle w:val="Style14"/>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305" w:right="380" w:bottom="1187" w:left="966" w:header="0" w:footer="3" w:gutter="0"/>
          <w:cols w:space="720"/>
          <w:noEndnote/>
          <w:rtlGutter w:val="0"/>
          <w:docGrid w:linePitch="360"/>
        </w:sectPr>
      </w:pPr>
      <w:r>
        <w:rPr>
          <w:rStyle w:val="CharStyle15"/>
        </w:rPr>
        <w:t>Решение может быть обжаловано в течение трех месяцев со дня его принятия в Арбитражном суде Еврейской автономной области.</w:t>
      </w: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76" w:left="0" w:header="0" w:footer="3" w:gutter="0"/>
          <w:cols w:space="720"/>
          <w:noEndnote/>
          <w:rtlGutter w:val="0"/>
          <w:docGrid w:linePitch="360"/>
        </w:sectPr>
      </w:pPr>
    </w:p>
    <w:p>
      <w:pPr>
        <w:pStyle w:val="Style14"/>
        <w:keepNext w:val="0"/>
        <w:keepLines w:val="0"/>
        <w:framePr w:w="2674" w:h="370" w:wrap="none" w:vAnchor="text" w:hAnchor="page" w:x="1180" w:y="21"/>
        <w:widowControl w:val="0"/>
        <w:shd w:val="clear" w:color="auto" w:fill="auto"/>
        <w:bidi w:val="0"/>
        <w:spacing w:before="0" w:after="0" w:line="240" w:lineRule="auto"/>
        <w:ind w:left="0" w:right="0" w:firstLine="0"/>
        <w:jc w:val="left"/>
      </w:pPr>
      <w:r>
        <w:rPr>
          <w:rStyle w:val="CharStyle15"/>
        </w:rPr>
        <w:t>Председатель комиссии</w:t>
      </w:r>
    </w:p>
    <w:p>
      <w:pPr>
        <w:pStyle w:val="Style26"/>
        <w:keepNext w:val="0"/>
        <w:keepLines w:val="0"/>
        <w:framePr w:w="2021" w:h="158" w:wrap="none" w:vAnchor="text" w:hAnchor="page" w:x="4924" w:y="754"/>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p>
      <w:pPr>
        <w:pStyle w:val="Style26"/>
        <w:keepNext w:val="0"/>
        <w:keepLines w:val="0"/>
        <w:framePr w:w="2712" w:h="408" w:wrap="none" w:vAnchor="text" w:hAnchor="page" w:x="4861" w:y="255"/>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p>
      <w:pPr>
        <w:pStyle w:val="Style14"/>
        <w:keepNext w:val="0"/>
        <w:keepLines w:val="0"/>
        <w:framePr w:w="1430" w:h="370" w:wrap="none" w:vAnchor="text" w:hAnchor="page" w:x="9902" w:y="21"/>
        <w:widowControl w:val="0"/>
        <w:shd w:val="clear" w:color="auto" w:fill="auto"/>
        <w:bidi w:val="0"/>
        <w:spacing w:before="0" w:after="0" w:line="240" w:lineRule="auto"/>
        <w:ind w:left="0" w:right="0" w:firstLine="0"/>
        <w:jc w:val="center"/>
      </w:pPr>
      <w:r>
        <w:rPr>
          <w:rStyle w:val="CharStyle15"/>
        </w:rPr>
        <w:t>С.Н. Свирид</w:t>
      </w:r>
    </w:p>
    <w:p>
      <w:pPr>
        <w:widowControl w:val="0"/>
        <w:spacing w:line="360" w:lineRule="exact"/>
      </w:pPr>
      <w:r>
        <w:drawing>
          <wp:anchor distT="0" distB="0" distL="0" distR="1786255" simplePos="0" relativeHeight="62914695" behindDoc="1" locked="0" layoutInCell="1" allowOverlap="1">
            <wp:simplePos x="0" y="0"/>
            <wp:positionH relativeFrom="page">
              <wp:posOffset>2665730</wp:posOffset>
            </wp:positionH>
            <wp:positionV relativeFrom="paragraph">
              <wp:posOffset>73025</wp:posOffset>
            </wp:positionV>
            <wp:extent cx="359410" cy="524510"/>
            <wp:wrapNone/>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11"/>
                    <a:stretch/>
                  </pic:blipFill>
                  <pic:spPr>
                    <a:xfrm>
                      <a:ext cx="359410" cy="524510"/>
                    </a:xfrm>
                    <a:prstGeom prst="rect"/>
                  </pic:spPr>
                </pic:pic>
              </a:graphicData>
            </a:graphic>
          </wp:anchor>
        </w:drawing>
      </w:r>
    </w:p>
    <w:p>
      <w:pPr>
        <w:widowControl w:val="0"/>
        <w:spacing w:after="575" w:line="1" w:lineRule="exact"/>
      </w:pPr>
    </w:p>
    <w:p>
      <w:pPr>
        <w:widowControl w:val="0"/>
        <w:spacing w:line="1" w:lineRule="exact"/>
        <w:sectPr>
          <w:footnotePr>
            <w:pos w:val="pageBottom"/>
            <w:numFmt w:val="decimal"/>
            <w:numRestart w:val="continuous"/>
          </w:footnotePr>
          <w:type w:val="continuous"/>
          <w:pgSz w:w="11900" w:h="16840"/>
          <w:pgMar w:top="1110" w:right="550" w:bottom="976" w:left="1106" w:header="0" w:footer="3" w:gutter="0"/>
          <w:cols w:space="720"/>
          <w:noEndnote/>
          <w:rtlGutter w:val="0"/>
          <w:docGrid w:linePitch="360"/>
        </w:sectPr>
      </w:pP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Свирид Сергей Николаевич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92929"/>
        </w:rPr>
        <w:t xml:space="preserve">№ </w:t>
      </w:r>
      <w:r>
        <w:rPr>
          <w:rStyle w:val="CharStyle30"/>
          <w:lang w:val="en-US" w:eastAsia="en-US"/>
        </w:rPr>
        <w:t>0092A48C6A59D07909F34283FC7556B1</w:t>
      </w:r>
      <w:r>
        <w:rPr>
          <w:rStyle w:val="CharStyle30"/>
          <w:color w:val="5E5E5E"/>
        </w:rPr>
        <w:t>18</w:t>
      </w:r>
    </w:p>
    <w:p>
      <w:pPr>
        <w:pStyle w:val="Style29"/>
        <w:keepNext w:val="0"/>
        <w:keepLines w:val="0"/>
        <w:widowControl w:val="0"/>
        <w:shd w:val="clear" w:color="auto" w:fill="auto"/>
        <w:bidi w:val="0"/>
        <w:spacing w:before="0" w:after="260" w:line="240" w:lineRule="auto"/>
        <w:ind w:right="0" w:firstLine="0"/>
        <w:jc w:val="left"/>
      </w:pPr>
      <w:r>
        <mc:AlternateContent>
          <mc:Choice Requires="wps">
            <w:drawing>
              <wp:anchor distT="0" distB="0" distL="0" distR="0" simplePos="0" relativeHeight="125829378" behindDoc="0" locked="0" layoutInCell="1" allowOverlap="1">
                <wp:simplePos x="0" y="0"/>
                <wp:positionH relativeFrom="page">
                  <wp:posOffset>745490</wp:posOffset>
                </wp:positionH>
                <wp:positionV relativeFrom="paragraph">
                  <wp:posOffset>0</wp:posOffset>
                </wp:positionV>
                <wp:extent cx="1249680" cy="234950"/>
                <wp:wrapSquare wrapText="bothSides"/>
                <wp:docPr id="10" name="Shape 10"/>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36" type="#_x0000_t202" style="position:absolute;margin-left:58.700000000000003pt;margin-top:0;width:98.400000000000006pt;height:18.5pt;z-index:-12582937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square" anchorx="page"/>
              </v:shape>
            </w:pict>
          </mc:Fallback>
        </mc:AlternateContent>
      </w:r>
      <w:r>
        <w:rPr>
          <w:rStyle w:val="CharStyle30"/>
        </w:rPr>
        <w:t xml:space="preserve">Действителен с 06.05.2025 </w:t>
      </w:r>
      <w:r>
        <w:rPr>
          <w:rStyle w:val="CharStyle30"/>
          <w:color w:val="5E5E5E"/>
        </w:rPr>
        <w:t xml:space="preserve">по </w:t>
      </w:r>
      <w:r>
        <w:rPr>
          <w:rStyle w:val="CharStyle30"/>
        </w:rPr>
        <w:t>30.07.2026</w:t>
      </w:r>
    </w:p>
    <w:p>
      <w:pPr>
        <w:pStyle w:val="Style14"/>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0" behindDoc="0" locked="0" layoutInCell="1" allowOverlap="1">
            <wp:simplePos x="0" y="0"/>
            <wp:positionH relativeFrom="page">
              <wp:posOffset>2693670</wp:posOffset>
            </wp:positionH>
            <wp:positionV relativeFrom="paragraph">
              <wp:posOffset>63500</wp:posOffset>
            </wp:positionV>
            <wp:extent cx="328930" cy="518160"/>
            <wp:wrapSquare wrapText="right"/>
            <wp:docPr id="12" name="Shape 12"/>
            <a:graphic xmlns:a="http://schemas.openxmlformats.org/drawingml/2006/main">
              <a:graphicData uri="http://schemas.openxmlformats.org/drawingml/2006/picture">
                <pic:pic xmlns:pic="http://schemas.openxmlformats.org/drawingml/2006/picture">
                  <pic:nvPicPr>
                    <pic:cNvPr id="13" name="Picture box 13"/>
                    <pic:cNvPicPr/>
                  </pic:nvPicPr>
                  <pic:blipFill>
                    <a:blip r:embed="rId13"/>
                    <a:stretch/>
                  </pic:blipFill>
                  <pic:spPr>
                    <a:xfrm>
                      <a:ext cx="328930" cy="5181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3126740</wp:posOffset>
                </wp:positionH>
                <wp:positionV relativeFrom="paragraph">
                  <wp:posOffset>466090</wp:posOffset>
                </wp:positionV>
                <wp:extent cx="1283335" cy="100330"/>
                <wp:wrapNone/>
                <wp:docPr id="14" name="Shape 1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wps:txbx>
                      <wps:bodyPr lIns="0" tIns="0" rIns="0" bIns="0">
                        <a:noAutoFit/>
                      </wps:bodyPr>
                    </wps:wsp>
                  </a:graphicData>
                </a:graphic>
              </wp:anchor>
            </w:drawing>
          </mc:Choice>
          <mc:Fallback>
            <w:pict>
              <v:shape id="_x0000_s1040" type="#_x0000_t202" style="position:absolute;margin-left:246.20000000000002pt;margin-top:36.700000000000003pt;width:101.05pt;height:7.9000000000000004pt;z-index:251657729;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3086735</wp:posOffset>
                </wp:positionH>
                <wp:positionV relativeFrom="paragraph">
                  <wp:posOffset>148590</wp:posOffset>
                </wp:positionV>
                <wp:extent cx="1722120" cy="259080"/>
                <wp:wrapNone/>
                <wp:docPr id="16" name="Shape 1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2" type="#_x0000_t202" style="position:absolute;margin-left:243.05000000000001pt;margin-top:11.700000000000001pt;width:135.59999999999999pt;height:20.40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Т.В. Моисеева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Моисеева Татьяна Владимировна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 </w:t>
      </w:r>
      <w:r>
        <w:rPr>
          <w:rStyle w:val="CharStyle30"/>
          <w:lang w:val="en-US" w:eastAsia="en-US"/>
        </w:rPr>
        <w:t>009AB246EE13E3853871A98BF87DA773E5</w:t>
      </w:r>
    </w:p>
    <w:p>
      <w:pPr>
        <w:pStyle w:val="Style29"/>
        <w:keepNext w:val="0"/>
        <w:keepLines w:val="0"/>
        <w:widowControl w:val="0"/>
        <w:shd w:val="clear" w:color="auto" w:fill="auto"/>
        <w:bidi w:val="0"/>
        <w:spacing w:before="0" w:after="120" w:line="240" w:lineRule="auto"/>
        <w:ind w:right="0" w:firstLine="0"/>
        <w:jc w:val="left"/>
      </w:pPr>
      <w:r>
        <w:rPr>
          <w:rStyle w:val="CharStyle30"/>
        </w:rPr>
        <w:t xml:space="preserve">Действителен с 08.04.2025 </w:t>
      </w:r>
      <w:r>
        <w:rPr>
          <w:rStyle w:val="CharStyle30"/>
          <w:color w:val="5E5E5E"/>
        </w:rPr>
        <w:t xml:space="preserve">по </w:t>
      </w:r>
      <w:r>
        <w:rPr>
          <w:rStyle w:val="CharStyle30"/>
        </w:rPr>
        <w:t>02.07.2026</w:t>
      </w:r>
    </w:p>
    <w:p>
      <w:pPr>
        <w:pStyle w:val="Style14"/>
        <w:keepNext w:val="0"/>
        <w:keepLines w:val="0"/>
        <w:widowControl w:val="0"/>
        <w:shd w:val="clear" w:color="auto" w:fill="auto"/>
        <w:bidi w:val="0"/>
        <w:spacing w:before="0" w:after="660" w:line="240" w:lineRule="auto"/>
        <w:ind w:left="0" w:right="0" w:firstLine="0"/>
        <w:jc w:val="right"/>
      </w:pPr>
      <w:r>
        <w:drawing>
          <wp:anchor distT="0" distB="0" distL="114300" distR="1900555" simplePos="0" relativeHeight="125829381" behindDoc="0" locked="0" layoutInCell="1" allowOverlap="1">
            <wp:simplePos x="0" y="0"/>
            <wp:positionH relativeFrom="page">
              <wp:posOffset>2678430</wp:posOffset>
            </wp:positionH>
            <wp:positionV relativeFrom="paragraph">
              <wp:posOffset>88900</wp:posOffset>
            </wp:positionV>
            <wp:extent cx="389890" cy="511810"/>
            <wp:wrapSquare wrapText="right"/>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5"/>
                    <a:stretch/>
                  </pic:blipFill>
                  <pic:spPr>
                    <a:xfrm>
                      <a:ext cx="389890" cy="5118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3169285</wp:posOffset>
                </wp:positionH>
                <wp:positionV relativeFrom="paragraph">
                  <wp:posOffset>485140</wp:posOffset>
                </wp:positionV>
                <wp:extent cx="1283335" cy="100330"/>
                <wp:wrapNone/>
                <wp:docPr id="20" name="Shape 2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wps:txbx>
                      <wps:bodyPr lIns="0" tIns="0" rIns="0" bIns="0">
                        <a:noAutoFit/>
                      </wps:bodyPr>
                    </wps:wsp>
                  </a:graphicData>
                </a:graphic>
              </wp:anchor>
            </w:drawing>
          </mc:Choice>
          <mc:Fallback>
            <w:pict>
              <v:shape id="_x0000_s1046" type="#_x0000_t202" style="position:absolute;margin-left:249.55000000000001pt;margin-top:38.200000000000003pt;width:101.05pt;height:7.9000000000000004pt;z-index:251657733;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3129280</wp:posOffset>
                </wp:positionH>
                <wp:positionV relativeFrom="paragraph">
                  <wp:posOffset>168275</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46.40000000000001pt;margin-top:13.25pt;width:135.59999999999999pt;height:20.400000000000002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Т.С. Кащенко</w:t>
      </w:r>
    </w:p>
    <w:p>
      <w:pPr>
        <w:pStyle w:val="Style29"/>
        <w:keepNext w:val="0"/>
        <w:keepLines w:val="0"/>
        <w:widowControl w:val="0"/>
        <w:shd w:val="clear" w:color="auto" w:fill="auto"/>
        <w:bidi w:val="0"/>
        <w:spacing w:before="0" w:after="0" w:line="240" w:lineRule="auto"/>
        <w:ind w:left="1140" w:right="0" w:firstLine="0"/>
        <w:jc w:val="left"/>
      </w:pPr>
      <w:r>
        <w:rPr>
          <w:rStyle w:val="CharStyle30"/>
        </w:rPr>
        <w:t xml:space="preserve">Кому выдан: </w:t>
      </w:r>
      <w:r>
        <w:rPr>
          <w:rStyle w:val="CharStyle30"/>
          <w:color w:val="000000"/>
        </w:rPr>
        <w:t>Кащенко Таисия Сергеевна</w:t>
      </w:r>
    </w:p>
    <w:p>
      <w:pPr>
        <w:pStyle w:val="Style29"/>
        <w:keepNext w:val="0"/>
        <w:keepLines w:val="0"/>
        <w:widowControl w:val="0"/>
        <w:shd w:val="clear" w:color="auto" w:fill="auto"/>
        <w:bidi w:val="0"/>
        <w:spacing w:before="0" w:after="0" w:line="240" w:lineRule="auto"/>
        <w:ind w:left="1140" w:right="0" w:firstLine="0"/>
        <w:jc w:val="left"/>
      </w:pPr>
      <w:r>
        <w:rPr>
          <w:rStyle w:val="CharStyle30"/>
        </w:rPr>
        <w:t xml:space="preserve">Сертификат </w:t>
      </w:r>
      <w:r>
        <w:rPr>
          <w:rStyle w:val="CharStyle30"/>
          <w:color w:val="292929"/>
        </w:rPr>
        <w:t xml:space="preserve">№ </w:t>
      </w:r>
      <w:r>
        <w:rPr>
          <w:rStyle w:val="CharStyle30"/>
          <w:lang w:val="en-US" w:eastAsia="en-US"/>
        </w:rPr>
        <w:t>00E4D0061</w:t>
      </w:r>
      <w:r>
        <w:rPr>
          <w:rStyle w:val="CharStyle30"/>
        </w:rPr>
        <w:t>4521</w:t>
      </w:r>
      <w:r>
        <w:rPr>
          <w:rStyle w:val="CharStyle30"/>
          <w:lang w:val="en-US" w:eastAsia="en-US"/>
        </w:rPr>
        <w:t>056AED99C36998E4A1CD3</w:t>
      </w:r>
    </w:p>
    <w:p>
      <w:pPr>
        <w:pStyle w:val="Style29"/>
        <w:keepNext w:val="0"/>
        <w:keepLines w:val="0"/>
        <w:widowControl w:val="0"/>
        <w:shd w:val="clear" w:color="auto" w:fill="auto"/>
        <w:bidi w:val="0"/>
        <w:spacing w:before="0" w:after="0" w:line="240" w:lineRule="auto"/>
        <w:ind w:left="1140" w:right="0" w:firstLine="0"/>
        <w:jc w:val="left"/>
      </w:pPr>
      <w:r>
        <w:rPr>
          <w:rStyle w:val="CharStyle30"/>
        </w:rPr>
        <w:t xml:space="preserve">Действителен с 21.05.2025 </w:t>
      </w:r>
      <w:r>
        <w:rPr>
          <w:rStyle w:val="CharStyle30"/>
          <w:color w:val="5E5E5E"/>
        </w:rPr>
        <w:t xml:space="preserve">по </w:t>
      </w:r>
      <w:r>
        <w:rPr>
          <w:rStyle w:val="CharStyle30"/>
        </w:rPr>
        <w:t>14.08.2026</w:t>
      </w:r>
    </w:p>
    <w:sectPr>
      <w:footnotePr>
        <w:pos w:val="pageBottom"/>
        <w:numFmt w:val="decimal"/>
        <w:numRestart w:val="continuous"/>
      </w:footnotePr>
      <w:type w:val="continuous"/>
      <w:pgSz w:w="11900" w:h="16840"/>
      <w:pgMar w:top="1110" w:right="551" w:bottom="1110" w:left="312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725805</wp:posOffset>
              </wp:positionH>
              <wp:positionV relativeFrom="page">
                <wp:posOffset>10026015</wp:posOffset>
              </wp:positionV>
              <wp:extent cx="6483350" cy="128270"/>
              <wp:wrapNone/>
              <wp:docPr id="2" name="Shape 2"/>
              <a:graphic xmlns:a="http://schemas.openxmlformats.org/drawingml/2006/main">
                <a:graphicData uri="http://schemas.microsoft.com/office/word/2010/wordprocessingShape">
                  <wps:wsp>
                    <wps:cNvSpPr txBox="1"/>
                    <wps:spPr>
                      <a:xfrm>
                        <a:ext cx="6483350" cy="128270"/>
                      </a:xfrm>
                      <a:prstGeom prst="rect"/>
                      <a:noFill/>
                    </wps:spPr>
                    <wps:txbx>
                      <w:txbxContent>
                        <w:p>
                          <w:pPr>
                            <w:pStyle w:val="Style2"/>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3"/>
                              <w:sz w:val="24"/>
                              <w:szCs w:val="24"/>
                            </w:rPr>
                            <w:t>2026-647</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149999999999999pt;margin-top:789.45000000000005pt;width:510.5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210" w:val="right"/>
                      </w:tabs>
                      <w:bidi w:val="0"/>
                      <w:spacing w:before="0" w:after="0" w:line="240" w:lineRule="auto"/>
                      <w:ind w:left="0" w:right="0" w:firstLine="0"/>
                      <w:jc w:val="left"/>
                      <w:rPr>
                        <w:sz w:val="24"/>
                        <w:szCs w:val="24"/>
                      </w:rPr>
                    </w:pPr>
                    <w:r>
                      <w:rPr>
                        <w:rStyle w:val="CharStyle3"/>
                        <w:sz w:val="24"/>
                        <w:szCs w:val="24"/>
                      </w:rPr>
                      <w:t>2026-647</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582295" cy="128270"/>
              <wp:wrapNone/>
              <wp:docPr id="4" name="Shape 4"/>
              <a:graphic xmlns:a="http://schemas.openxmlformats.org/drawingml/2006/main">
                <a:graphicData uri="http://schemas.microsoft.com/office/word/2010/wordprocessingShape">
                  <wps:wsp>
                    <wps:cNvSpPr txBox="1"/>
                    <wps:spPr>
                      <a:xfrm>
                        <a:ext cx="58229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2026-647</w:t>
                          </w:r>
                        </w:p>
                      </w:txbxContent>
                    </wps:txbx>
                    <wps:bodyPr wrap="none" lIns="0" tIns="0" rIns="0" bIns="0">
                      <a:spAutoFit/>
                    </wps:bodyPr>
                  </wps:wsp>
                </a:graphicData>
              </a:graphic>
            </wp:anchor>
          </w:drawing>
        </mc:Choice>
        <mc:Fallback>
          <w:pict>
            <v:shape id="_x0000_s1030" type="#_x0000_t202" style="position:absolute;margin-left:56.75pt;margin-top:775.70000000000005pt;width:45.850000000000001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Body text (6)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Other_"/>
    <w:basedOn w:val="DefaultParagraphFont"/>
    <w:link w:val="Style18"/>
    <w:rPr>
      <w:rFonts w:ascii="Times New Roman" w:eastAsia="Times New Roman" w:hAnsi="Times New Roman" w:cs="Times New Roman"/>
      <w:b w:val="0"/>
      <w:bCs w:val="0"/>
      <w:i w:val="0"/>
      <w:iCs w:val="0"/>
      <w:smallCaps w:val="0"/>
      <w:strike w:val="0"/>
      <w:sz w:val="26"/>
      <w:szCs w:val="26"/>
      <w:u w:val="none"/>
    </w:rPr>
  </w:style>
  <w:style w:type="character" w:customStyle="1" w:styleId="CharStyle21">
    <w:name w:val="Body text (5)_"/>
    <w:basedOn w:val="DefaultParagraphFont"/>
    <w:link w:val="Style20"/>
    <w:rPr>
      <w:rFonts w:ascii="Arial" w:eastAsia="Arial" w:hAnsi="Arial" w:cs="Arial"/>
      <w:b w:val="0"/>
      <w:bCs w:val="0"/>
      <w:i w:val="0"/>
      <w:iCs w:val="0"/>
      <w:smallCaps w:val="0"/>
      <w:strike w:val="0"/>
      <w:sz w:val="36"/>
      <w:szCs w:val="36"/>
      <w:u w:val="none"/>
      <w:lang w:val="en-US" w:eastAsia="en-US"/>
    </w:rPr>
  </w:style>
  <w:style w:type="character" w:customStyle="1" w:styleId="CharStyle23">
    <w:name w:val="Heading #1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7">
    <w:name w:val="Picture caption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24242"/>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20" w:line="28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Body text (6)"/>
    <w:basedOn w:val="Normal"/>
    <w:link w:val="CharStyle11"/>
    <w:pPr>
      <w:widowControl w:val="0"/>
      <w:shd w:val="clear" w:color="auto" w:fill="auto"/>
      <w:spacing w:after="320"/>
      <w:jc w:val="right"/>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Other"/>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0">
    <w:name w:val="Body text (5)"/>
    <w:basedOn w:val="Normal"/>
    <w:link w:val="CharStyle21"/>
    <w:pPr>
      <w:widowControl w:val="0"/>
      <w:shd w:val="clear" w:color="auto" w:fill="auto"/>
      <w:spacing w:after="380"/>
    </w:pPr>
    <w:rPr>
      <w:rFonts w:ascii="Arial" w:eastAsia="Arial" w:hAnsi="Arial" w:cs="Arial"/>
      <w:b w:val="0"/>
      <w:bCs w:val="0"/>
      <w:i w:val="0"/>
      <w:iCs w:val="0"/>
      <w:smallCaps w:val="0"/>
      <w:strike w:val="0"/>
      <w:sz w:val="36"/>
      <w:szCs w:val="36"/>
      <w:u w:val="none"/>
      <w:lang w:val="en-US" w:eastAsia="en-US"/>
    </w:rPr>
  </w:style>
  <w:style w:type="paragraph" w:customStyle="1" w:styleId="Style22">
    <w:name w:val="Heading #1"/>
    <w:basedOn w:val="Normal"/>
    <w:link w:val="CharStyle23"/>
    <w:pPr>
      <w:widowControl w:val="0"/>
      <w:shd w:val="clear" w:color="auto" w:fill="auto"/>
      <w:ind w:firstLine="580"/>
      <w:outlineLvl w:val="0"/>
    </w:pPr>
    <w:rPr>
      <w:rFonts w:ascii="Times New Roman" w:eastAsia="Times New Roman" w:hAnsi="Times New Roman" w:cs="Times New Roman"/>
      <w:b w:val="0"/>
      <w:bCs w:val="0"/>
      <w:i w:val="0"/>
      <w:iCs w:val="0"/>
      <w:smallCaps w:val="0"/>
      <w:strike w:val="0"/>
      <w:sz w:val="26"/>
      <w:szCs w:val="26"/>
      <w:u w:val="none"/>
    </w:rPr>
  </w:style>
  <w:style w:type="paragraph" w:customStyle="1" w:styleId="Style26">
    <w:name w:val="Picture caption"/>
    <w:basedOn w:val="Normal"/>
    <w:link w:val="CharStyle2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2)"/>
    <w:basedOn w:val="Normal"/>
    <w:link w:val="CharStyle30"/>
    <w:pPr>
      <w:widowControl w:val="0"/>
      <w:shd w:val="clear" w:color="auto" w:fill="auto"/>
      <w:ind w:left="1080"/>
    </w:pPr>
    <w:rPr>
      <w:rFonts w:ascii="Arial" w:eastAsia="Arial" w:hAnsi="Arial" w:cs="Arial"/>
      <w:b w:val="0"/>
      <w:bCs w:val="0"/>
      <w:i w:val="0"/>
      <w:iCs w:val="0"/>
      <w:smallCaps w:val="0"/>
      <w:strike w:val="0"/>
      <w:color w:val="424242"/>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