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818515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19893/26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450000000000003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19893/26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 xml:space="preserve">ГБУЗ «НИИ СП им. Н. В Склифосовского ДЗМ» </w:t>
      </w:r>
      <w:r>
        <w:fldChar w:fldCharType="begin"/>
      </w:r>
      <w:r>
        <w:rPr/>
        <w:instrText> HYPERLINK "mailto:GurovaYM@sklif.mos.ru" </w:instrText>
      </w:r>
      <w:r>
        <w:fldChar w:fldCharType="separate"/>
      </w:r>
      <w:r>
        <w:rPr>
          <w:rStyle w:val="CharStyle7"/>
          <w:lang w:val="en-US" w:eastAsia="en-US"/>
        </w:rPr>
        <w:t>GurovaYM@sklif.mos.ru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ООО «КОРИК» </w:t>
      </w:r>
      <w:r>
        <w:fldChar w:fldCharType="begin"/>
      </w:r>
      <w:r>
        <w:rPr/>
        <w:instrText> HYPERLINK "mailto:korik.med@mail.ru" </w:instrText>
      </w:r>
      <w:r>
        <w:fldChar w:fldCharType="separate"/>
      </w:r>
      <w:r>
        <w:rPr>
          <w:rStyle w:val="CharStyle7"/>
          <w:lang w:val="en-US" w:eastAsia="en-US"/>
        </w:rPr>
        <w:t>korik.med@mail.ru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140" w:right="0" w:firstLine="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№077/06/105-5707/2026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06.05.2026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отсутствие представителей ООО «КОРИК», ГБУЗ «НИИ СП им. Н. В. Склифосовского ДЗМ»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715010</wp:posOffset>
            </wp:positionH>
            <wp:positionV relativeFrom="margin">
              <wp:posOffset>9104630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«КОРИК»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«НИИ СП им. Н. В. Склифосовского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изделий: нить хирургическая из полиэфира, нерассасывающаяся, полинить; для оказания медицинской помощи в отделениях ГБУЗ «НИИ СП им Н. В. Склифосовского ДЗМ» (Закупка </w:t>
      </w:r>
      <w:r>
        <w:rPr>
          <w:rStyle w:val="CharStyle7"/>
          <w:lang w:val="en-US" w:eastAsia="en-US"/>
        </w:rPr>
        <w:t xml:space="preserve">№ 0373200067026000310)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электронный аукцион, аукцион), в соответствии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Style w:val="CharStyle7"/>
        </w:rPr>
        <w:t xml:space="preserve">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Заявитель оспаривает положения извещений об осуществлении закупок, указывая на неправомерность установления преимуществ в отношении закупаемого шовного материала, имеющего в своем составе одну и более иглу,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 xml:space="preserve">поскольку, по мнению Заявителя, данные изделия имеют код ОКПД2 </w:t>
      </w:r>
      <w:r>
        <w:rPr>
          <w:rStyle w:val="CharStyle7"/>
          <w:lang w:val="en-US" w:eastAsia="en-US"/>
        </w:rPr>
        <w:t xml:space="preserve">21.20.24.120 </w:t>
      </w:r>
      <w:r>
        <w:rPr>
          <w:rStyle w:val="CharStyle7"/>
        </w:rPr>
        <w:t xml:space="preserve">«Шовные материалы», который относится к позиции п.385 перечня товаров по приложению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Заявитель также указывает, что Заказчиком одновременно закупаются товары, включенные в позиции </w:t>
      </w:r>
      <w:r>
        <w:rPr>
          <w:rStyle w:val="CharStyle7"/>
          <w:lang w:val="en-US" w:eastAsia="en-US"/>
        </w:rPr>
        <w:t xml:space="preserve">17, 139 - 141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 1875, 179, 189, 320 </w:t>
      </w:r>
      <w:r>
        <w:rPr>
          <w:rStyle w:val="CharStyle7"/>
        </w:rPr>
        <w:t xml:space="preserve">(в части дефибрилляторов), </w:t>
      </w:r>
      <w:r>
        <w:rPr>
          <w:rStyle w:val="CharStyle7"/>
          <w:lang w:val="en-US" w:eastAsia="en-US"/>
        </w:rPr>
        <w:t xml:space="preserve">362 - 432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и не включенные в такие позиции, что является неправомерным и нарушает пп. «г» п.4 Постановления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обосновании своей позиций в составе жалобы Заявитель указывает, что Заказчиком в рамках оспариваемой закупки закупается по позиции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2, </w:t>
      </w:r>
      <w:r>
        <w:rPr>
          <w:rStyle w:val="CharStyle7"/>
        </w:rPr>
        <w:t xml:space="preserve">в том числе, такой товар как «Нить хирургическая из полиэфира, нерассасывающаяся, полинить» позиции КТРУ </w:t>
      </w:r>
      <w:r>
        <w:rPr>
          <w:rStyle w:val="CharStyle7"/>
          <w:lang w:val="en-US" w:eastAsia="en-US"/>
        </w:rPr>
        <w:t xml:space="preserve">21.20.24.120-00000032, </w:t>
      </w:r>
      <w:r>
        <w:rPr>
          <w:rStyle w:val="CharStyle7"/>
        </w:rPr>
        <w:t xml:space="preserve">кодом ОКПД2 </w:t>
      </w:r>
      <w:r>
        <w:rPr>
          <w:rStyle w:val="CharStyle7"/>
          <w:lang w:val="en-US" w:eastAsia="en-US"/>
        </w:rPr>
        <w:t xml:space="preserve">21.20.24.120, </w:t>
      </w:r>
      <w:r>
        <w:rPr>
          <w:rStyle w:val="CharStyle7"/>
        </w:rPr>
        <w:t xml:space="preserve">при этом такие позиции обладают, в частности следующим требованием: «Тип иглы: обратно-режущая», что свидетельствует о том, что такие товары относятся к п.385 перечня товаров 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Ввиду вышеописанного, по мнению Заявителя, выраженного в составе жалобы, для надлежащего формирования объекта закупки Заказчику следует разделить закупки на товары, включенные в соответствующие позиции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1875, </w:t>
      </w:r>
      <w:r>
        <w:rPr>
          <w:rStyle w:val="CharStyle7"/>
        </w:rPr>
        <w:t xml:space="preserve">и на товары, не указанные в таких позициях, а также установить ограничение закупок для обеспечения государственных и муниципальных нужд Постановления </w:t>
      </w:r>
      <w:r>
        <w:rPr>
          <w:rStyle w:val="CharStyle7"/>
          <w:lang w:val="en-US" w:eastAsia="en-US"/>
        </w:rPr>
        <w:t xml:space="preserve">1875 </w:t>
      </w:r>
      <w:r>
        <w:rPr>
          <w:rStyle w:val="CharStyle7"/>
        </w:rPr>
        <w:t xml:space="preserve">для товаров, включенных в приложение </w:t>
      </w:r>
      <w:r>
        <w:rPr>
          <w:rStyle w:val="CharStyle7"/>
          <w:lang w:val="en-US" w:eastAsia="en-US"/>
        </w:rPr>
        <w:t>№2.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00"/>
        <w:jc w:val="both"/>
      </w:pPr>
      <w:r>
        <w:rPr>
          <w:rStyle w:val="CharStyle7"/>
        </w:rPr>
        <w:t>В силу п.1 ч.2 ст.42 Закона о контрактной системе извещение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45" w:bottom="1133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силу п.1 Постановления </w:t>
      </w:r>
      <w:r>
        <w:rPr>
          <w:rStyle w:val="CharStyle7"/>
          <w:lang w:val="en-US" w:eastAsia="en-US"/>
        </w:rPr>
        <w:t xml:space="preserve">1875 </w:t>
      </w:r>
      <w:r>
        <w:rPr>
          <w:rStyle w:val="CharStyle7"/>
        </w:rPr>
        <w:t>установить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 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 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-преимущество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п.2 ч.29 ст.34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абз.9 пп. «г»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при осуществлении закупок в соответствии с Законом о контрактной системе, Федеральным законом «О закупках товаров, работ, услуг отдельными видами юридических лиц», за исключением закупок у единственного поставщика (подрядчика, исполнителя) и закупок у единственного поставщика (исполнителя, подрядчика) соответственно, </w:t>
      </w:r>
      <w:r>
        <w:rPr>
          <w:rStyle w:val="CharStyle7"/>
          <w:b/>
          <w:bCs/>
          <w:i/>
          <w:iCs/>
          <w:u w:val="single"/>
        </w:rPr>
        <w:t>не могут быть включены в предмет одного контракта</w:t>
      </w:r>
      <w:r>
        <w:rPr>
          <w:rStyle w:val="CharStyle7"/>
        </w:rPr>
        <w:t xml:space="preserve"> (одного лота), одного договора (одного лота) товары, указанные в позициях </w:t>
      </w:r>
      <w:r>
        <w:rPr>
          <w:rStyle w:val="CharStyle7"/>
          <w:lang w:val="en-US" w:eastAsia="en-US"/>
        </w:rPr>
        <w:t xml:space="preserve">17, 139 - 141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179, 189, 320 </w:t>
      </w:r>
      <w:r>
        <w:rPr>
          <w:rStyle w:val="CharStyle7"/>
        </w:rPr>
        <w:t xml:space="preserve">(в части дефибрилляторов), </w:t>
      </w:r>
      <w:r>
        <w:rPr>
          <w:rStyle w:val="CharStyle7"/>
          <w:lang w:val="en-US" w:eastAsia="en-US"/>
        </w:rPr>
        <w:t xml:space="preserve">362 - 432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и товары, не указанные в таких позициях.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основании пп. «д»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позиции 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и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2008)», </w:t>
      </w:r>
      <w:r>
        <w:rPr>
          <w:rStyle w:val="CharStyle7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2008)». </w:t>
      </w:r>
      <w:r>
        <w:rPr>
          <w:rStyle w:val="CharStyle7"/>
        </w:rPr>
        <w:t xml:space="preserve"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</w:t>
      </w:r>
      <w:r>
        <w:rPr>
          <w:rStyle w:val="CharStyle7"/>
          <w:sz w:val="24"/>
          <w:szCs w:val="24"/>
          <w:lang w:val="en-US" w:eastAsia="en-US"/>
        </w:rPr>
        <w:t>2026-22268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медицинских изделий, утвержденной Министерством здравоохранения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установлено, что описание объекта закупки содержит в себе информацию об установлении преимущества в отношении всех закупаемых товаров.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свою очередь, Комиссией Управления установлено, что согласно описанию объекта закупки Заказчиком закупаются медицинские изделия: нить хирургическая из полиэфира, нерассасывающаяся, полинить; для оказания медицинской помощи в отделениях ГБУЗ «НИИ СП им Н. В. Склифосовского ДЗМ», при этом, часть закупаемого шовного материала должна иметь в своём составе иглу, а часть нет.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Заказчиком не представлено возражений по доводам изложенным в жалобе.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свою очередь, Комиссией Управления также определено, что согласно описанию объекта закупки Заказчиком закупается например следующее медицинское изделие: «Нить хирургическая из полиэфира, нерассасывающаяся, полинить» кода ОКПД2 </w:t>
      </w:r>
      <w:r>
        <w:rPr>
          <w:rStyle w:val="CharStyle7"/>
          <w:lang w:val="en-US" w:eastAsia="en-US"/>
        </w:rPr>
        <w:t xml:space="preserve">21.20.24.120, </w:t>
      </w:r>
      <w:r>
        <w:rPr>
          <w:rStyle w:val="CharStyle7"/>
        </w:rPr>
        <w:t xml:space="preserve">при этом установлены требования, в частности: «Количество игл на нити: </w:t>
      </w:r>
      <w:r>
        <w:rPr>
          <w:rStyle w:val="CharStyle7"/>
          <w:lang w:val="en-US" w:eastAsia="en-US"/>
        </w:rPr>
        <w:t>1».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отмечает, что в силу пп. «п»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предусмотренное п.1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ограничение закупок товаров, указанных в позициях </w:t>
      </w:r>
      <w:r>
        <w:rPr>
          <w:rStyle w:val="CharStyle7"/>
          <w:lang w:val="en-US" w:eastAsia="en-US"/>
        </w:rPr>
        <w:t xml:space="preserve">362 — 432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применяется при осуществлении закупок товаров, являющихся медицинскими изделиями.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код ОКПД2 </w:t>
      </w:r>
      <w:r>
        <w:rPr>
          <w:rStyle w:val="CharStyle7"/>
          <w:lang w:val="en-US" w:eastAsia="en-US"/>
        </w:rPr>
        <w:t xml:space="preserve">21.20.24.120 </w:t>
      </w:r>
      <w:r>
        <w:rPr>
          <w:rStyle w:val="CharStyle7"/>
        </w:rPr>
        <w:t xml:space="preserve">«Шовные материалы» указан в позиции </w:t>
      </w:r>
      <w:r>
        <w:rPr>
          <w:rStyle w:val="CharStyle7"/>
          <w:lang w:val="en-US" w:eastAsia="en-US"/>
        </w:rPr>
        <w:t xml:space="preserve">385 </w:t>
      </w:r>
      <w:r>
        <w:rPr>
          <w:rStyle w:val="CharStyle7"/>
        </w:rPr>
        <w:t xml:space="preserve">«Иглы хирургические; инструменты колющие; шприцы»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согласно абз.3 п.3.2 информационного письма Министерства финансов Российской Федерации от </w:t>
      </w:r>
      <w:r>
        <w:rPr>
          <w:rStyle w:val="CharStyle7"/>
          <w:lang w:val="en-US" w:eastAsia="en-US"/>
        </w:rPr>
        <w:t xml:space="preserve">31.01.2025 № 24-01-06/8697 </w:t>
      </w:r>
      <w:r>
        <w:rPr>
          <w:rStyle w:val="CharStyle7"/>
        </w:rPr>
        <w:t xml:space="preserve">при применении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не предусматривается обеспечение дословного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соответствия наименований, указанных в описании объекта закупки (предмета закупки), наименованиями, указанным в перечнях </w:t>
      </w:r>
      <w:r>
        <w:rPr>
          <w:rStyle w:val="CharStyle7"/>
          <w:lang w:val="en-US" w:eastAsia="en-US"/>
        </w:rPr>
        <w:t>№1-№3.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Таким образом, Комиссия Управления приходит к выводу, что Заказчиком неправомерно не установлено ограничение к закупаемому товару в соответствии с Постановлением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Аналогичная позиция изложена в решении ФАС России от </w:t>
      </w:r>
      <w:r>
        <w:rPr>
          <w:rStyle w:val="CharStyle7"/>
          <w:lang w:val="en-US" w:eastAsia="en-US"/>
        </w:rPr>
        <w:t xml:space="preserve">17.04.2025 </w:t>
      </w:r>
      <w:r>
        <w:rPr>
          <w:rStyle w:val="CharStyle7"/>
        </w:rPr>
        <w:t xml:space="preserve">по делу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25/44/99/П21.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Кроме того, Комиссией Управления установлено, что Заказчиком, в частности закупается п. «Нить хирургическая из полиэфира, нерассасывающаяся, полинить. Идентификатор: </w:t>
      </w:r>
      <w:r>
        <w:rPr>
          <w:rStyle w:val="CharStyle7"/>
          <w:lang w:val="en-US" w:eastAsia="en-US"/>
        </w:rPr>
        <w:t xml:space="preserve">212431634», </w:t>
      </w:r>
      <w:r>
        <w:rPr>
          <w:rStyle w:val="CharStyle7"/>
        </w:rPr>
        <w:t xml:space="preserve">содержащая требование к количеству игл на нити, при этом в данной закупке закупается также п. «Нить хирургическая из полиэфира, нерассасывающаяся, полинить. Идентификатор: </w:t>
      </w:r>
      <w:r>
        <w:rPr>
          <w:rStyle w:val="CharStyle7"/>
          <w:lang w:val="en-US" w:eastAsia="en-US"/>
        </w:rPr>
        <w:t xml:space="preserve">212431636», </w:t>
      </w:r>
      <w:r>
        <w:rPr>
          <w:rStyle w:val="CharStyle7"/>
        </w:rPr>
        <w:t>в составе требований которой отсутствует указание на наличие иглы.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Таким образом, Комиссия Управления отмечает, что поскольку Заказчиком закупаются товары, подпадающие под п. </w:t>
      </w:r>
      <w:r>
        <w:rPr>
          <w:rStyle w:val="CharStyle7"/>
          <w:lang w:val="en-US" w:eastAsia="en-US"/>
        </w:rPr>
        <w:t xml:space="preserve">385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(нити хирургические, содержащие в своем составе иглу(ы)), в силу пп. «г» п.4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Заказчик не может включать в предмет одного лота другие товары, не указанные в таких позициях, в частности нити хирургические, не содержащие в своем составе иглу(ы).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Исходя из вышеизложенного, Комиссия Управления приходит к выводу о нарушении Заказчиком ч.1 ст.14, п.15 ч.1 ст.42, п.2 ч.29 ст.34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составе жалобы Заявитель указывает, что извещение об осуществлении закупки сформировано Заказчиком противоречивым образом, так как по п.28 описания объекта закупки Заказчиком применена позиция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КТРУ) </w:t>
      </w:r>
      <w:r>
        <w:rPr>
          <w:rStyle w:val="CharStyle7"/>
          <w:lang w:val="en-US" w:eastAsia="en-US"/>
        </w:rPr>
        <w:t xml:space="preserve">21.20.24.120-00000032 </w:t>
      </w:r>
      <w:r>
        <w:rPr>
          <w:rStyle w:val="CharStyle7"/>
        </w:rPr>
        <w:t>«Нить хирургическая из полиэфира, нерассасывающаяся, полинить», которая соответствуют идентификационному уникальному номеру записи видов медицинских изделий содержащие сведения о том, что изделие не содержит антибактериальных веществ/материалов, однако Заказчиком установлено требование о наличии таких материалов в составе изделия.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38" w:right="548" w:bottom="1100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left"/>
      </w:pPr>
      <w:r>
        <w:rPr>
          <w:rStyle w:val="CharStyle7"/>
        </w:rPr>
        <w:t>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 145 </w:t>
      </w:r>
      <w:r>
        <w:rPr>
          <w:rStyle w:val="CharStyle7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пп.«а», «б»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7" w:val="left"/>
          <w:tab w:pos="10209" w:val="righ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документации о закупке (в случае если</w:t>
        <w:tab/>
        <w:t>Федеральным законом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7"/>
        </w:rPr>
        <w:t>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7"/>
        </w:rPr>
        <w:t>б)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93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  <w:lang w:val="en-US" w:eastAsia="en-US"/>
        </w:rPr>
        <w:t>2026-22268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54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Согласно п.13 Правил формирования КТРУ в описание товара, работы, услуги в соответствии с требованиями ст.33 Закона о контрактной системе включается в том числе следующая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потребительские свойства и иные характеристики товара, работы, услуги, в том числе функциональные, технические, качественные характеристики, эксплуатационные характеристики (при необходимости), сформированные с учетом следующих сведений: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случае если указанные характеристики имеют количественную оценку, то используются единицы измерения в соответствии с ОКЕИ. При отсутствии в ОКЕИ единицы измерения, в отношении которой уполномоченным органом принято решение о включении в описание товара, работы, услуги, уполномоченный орган направляет в федеральный орган исполнительной власти, обеспечивающий разработку, ведение и применение ОКЕИ, обращение о включении такой единицы измерения в ОКЕИ. При этом до включения соответствующей единицы измерения в ОКЕИ такая единица измерения включается в описание товара, работы, услуги и считается временным значением;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в отношении каждой характеристики, имеющей количественную оценку, указывается ее конкретное значение, или исчерпывающий перечень конкретных значений, или диапазоны допустимых значений (минимально либо максимально допустимые значения), или неизменяемые значения, в том числе с учетом требований к товару, работе, услуге, установленных в соответствии со статьей </w:t>
      </w:r>
      <w:r>
        <w:rPr>
          <w:rStyle w:val="CharStyle7"/>
          <w:lang w:val="en-US" w:eastAsia="en-US"/>
        </w:rPr>
        <w:t xml:space="preserve">19 </w:t>
      </w:r>
      <w:r>
        <w:rPr>
          <w:rStyle w:val="CharStyle7"/>
        </w:rPr>
        <w:t>Федерального закона;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отношении каждой характеристики, не имеющей количественной оценки, указывается исчерпывающий перечень соответствующих свойств товара, работы, услуги, в том числе с учетом требований к объектам закупки, установленных в соответствии со ст.19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информация о распространяющихся на товары, работы, услуги технических регламентах, принятых в соответствии с законодательством Российской Федерации о техническом регулировании (при наличии), документах,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2" w:val="left"/>
        </w:tabs>
        <w:bidi w:val="0"/>
        <w:spacing w:before="0" w:after="0" w:line="324" w:lineRule="auto"/>
        <w:ind w:left="0" w:right="0" w:firstLine="72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20" w:left="1103" w:header="0" w:footer="192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при необходимости спецификации, планы, чертежи, эскизы, фотографии, </w:t>
      </w:r>
      <w:r>
        <w:rPr>
          <w:rStyle w:val="CharStyle7"/>
          <w:sz w:val="24"/>
          <w:szCs w:val="24"/>
          <w:lang w:val="en-US" w:eastAsia="en-US"/>
        </w:rPr>
        <w:t>2026-22268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цифровые модели,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 процессов и методов производства в соответствии с требованиями технических регламентов, стандартов, технических условий, а также в отношении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что, согласно извещению об осуществлении закупки Заказчиком закупаются, например, следующее изделие: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44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«Нить хирургическая из полиэфира, нерассасывающаяся, полинить» с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0</wp:posOffset>
                </wp:positionV>
                <wp:extent cx="3224530" cy="10699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4530" cy="1069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 xml:space="preserve">идентификатором </w:t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212431662, </w:t>
                            </w:r>
                            <w:r>
                              <w:rPr>
                                <w:rStyle w:val="CharStyle7"/>
                              </w:rPr>
                              <w:t>при этом изделию: «Действующее вещество Нитроксолин», «Конструктивные Антибактериальное покрытие нити».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Также Комиссией Управления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5.300000000000004pt;margin-top:0;width:253.90000000000001pt;height:84.25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 xml:space="preserve">идентификатором </w:t>
                      </w:r>
                      <w:r>
                        <w:rPr>
                          <w:rStyle w:val="CharStyle7"/>
                          <w:lang w:val="en-US" w:eastAsia="en-US"/>
                        </w:rPr>
                        <w:t xml:space="preserve">212431662, </w:t>
                      </w:r>
                      <w:r>
                        <w:rPr>
                          <w:rStyle w:val="CharStyle7"/>
                        </w:rPr>
                        <w:t>при этом изделию: «Действующее вещество Нитроксолин», «Конструктивные Антибактериальное покрытие нити».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700"/>
                        <w:jc w:val="left"/>
                      </w:pPr>
                      <w:r>
                        <w:rPr>
                          <w:rStyle w:val="CharStyle7"/>
                        </w:rPr>
                        <w:t>Также Комиссией Управления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90525" distL="0" distR="0" simplePos="0" relativeHeight="125829384" behindDoc="0" locked="0" layoutInCell="1" allowOverlap="1">
                <wp:simplePos x="0" y="0"/>
                <wp:positionH relativeFrom="page">
                  <wp:posOffset>3972560</wp:posOffset>
                </wp:positionH>
                <wp:positionV relativeFrom="paragraph">
                  <wp:posOffset>0</wp:posOffset>
                </wp:positionV>
                <wp:extent cx="3237230" cy="6794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7230" cy="679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</w:rPr>
                              <w:t>установлены следующие требования к антибактериального покрытия нити: особенности шовного материала: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12.80000000000001pt;margin-top:0;width:254.90000000000001pt;height:53.5pt;z-index:-125829369;mso-wrap-distance-left:0;mso-wrap-distance-right:0;mso-wrap-distance-bottom:30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</w:rPr>
                        <w:t>установлены следующие требования к антибактериального покрытия нити: особенности шовного материала: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785" distB="0" distL="0" distR="0" simplePos="0" relativeHeight="125829386" behindDoc="0" locked="0" layoutInCell="1" allowOverlap="1">
                <wp:simplePos x="0" y="0"/>
                <wp:positionH relativeFrom="page">
                  <wp:posOffset>3975735</wp:posOffset>
                </wp:positionH>
                <wp:positionV relativeFrom="paragraph">
                  <wp:posOffset>819785</wp:posOffset>
                </wp:positionV>
                <wp:extent cx="323088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0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установлено, что в извещении об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13.05000000000001pt;margin-top:64.549999999999997pt;width:254.40000000000001pt;height:19.699999999999999pt;z-index:-125829367;mso-wrap-distance-left:0;mso-wrap-distance-top:64.5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установлено, что в извещении об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осуществлении закупки Заказчиком указано на соответствие вышеуказанной товарной позиции КТРУ </w:t>
      </w:r>
      <w:r>
        <w:rPr>
          <w:rStyle w:val="CharStyle7"/>
          <w:lang w:val="en-US" w:eastAsia="en-US"/>
        </w:rPr>
        <w:t xml:space="preserve">21.20.24.120-00000032 </w:t>
      </w:r>
      <w:r>
        <w:rPr>
          <w:rStyle w:val="CharStyle7"/>
        </w:rPr>
        <w:t>«Нить хирургическая из полиэфира, нерассасывающаяся, полинить».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этим в позициях КТРУ содержится в том числе следующая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позиции КТРУ </w:t>
      </w:r>
      <w:r>
        <w:rPr>
          <w:rStyle w:val="CharStyle7"/>
          <w:lang w:val="en-US" w:eastAsia="en-US"/>
        </w:rPr>
        <w:t xml:space="preserve">21.20.24.120-00000032 </w:t>
      </w:r>
      <w:r>
        <w:rPr>
          <w:rStyle w:val="CharStyle7"/>
        </w:rPr>
        <w:t xml:space="preserve">«Нить хирургическая из полиэфира, нерассасывающаяся, полинить» указано на соответствие позиции КТРУ изделию с идентификационным уникальным номер записи вида медицинского изделия </w:t>
      </w:r>
      <w:r>
        <w:rPr>
          <w:rStyle w:val="CharStyle7"/>
          <w:lang w:val="en-US" w:eastAsia="en-US"/>
        </w:rPr>
        <w:t xml:space="preserve">164200 </w:t>
      </w:r>
      <w:r>
        <w:rPr>
          <w:rStyle w:val="CharStyle7"/>
        </w:rPr>
        <w:t>«Нить хирургическая из полиэфира, нерассасывающаяся, полинить» с описанием «Синтетическая полинить из нерассасывающегося полиэфира, предназначенная для соединения (аппроксимации) краев раны мягких тканей или разреза путем сшивания или для лигирования мягких тканей; может включать в себя одноразовые изделия [например, иглу, проводник], предназначенные для наложения швов. Нить обеспечивает временную поддержку раны до тех пор, пока она не будет в достаточной степени вылечена. Не самофиксирующаяся и не содержит антибактериальных веществ/материалов. Это изделие для одноразового использования».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этим Комиссия Управления считает необходимым отметить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023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Согласно п.10 Правил формирования КТРУ в позицию каталога включается следующая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код позиции каталога, формируемый в соответствии с п.12 Правил формирования КТРУ;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4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единицы измерения количества товара, объема выполняемой работы, оказываемой услуги согласно Общероссийскому классификатору единиц измерения ОК </w:t>
      </w:r>
      <w:r>
        <w:rPr>
          <w:rStyle w:val="CharStyle7"/>
          <w:lang w:val="en-US" w:eastAsia="en-US"/>
        </w:rPr>
        <w:t xml:space="preserve">015-94 </w:t>
      </w:r>
      <w:r>
        <w:rPr>
          <w:rStyle w:val="CharStyle7"/>
        </w:rPr>
        <w:t>(ОКЕИ)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информация, содержащая описание товара, работы, услуги, если такое описание сформировано в соответствии с п.13 Правил формирования КТРУ;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справочная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дата включения в каталог позиции;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9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дата (даты) начала обязательного применения информации, включенной в позицию каталога;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84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дата окончания применения позиции каталога (при необходимости);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дополнительная информация в соответствии с п.19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Комиссия Управления отмечает, что, исходя из п.10 Правил формирования КТРУ, позиция КТРУ содержит справочную информацию, которая, в свою очередь, соответствует товару, работе, услуге согласно российским и международным системам классификации, каталогизации (при наличии).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выводу, что несмотря на тот факт, что справочная информация, размещенная в позиции КТРУ, не является описанием товара, работы или услуги в рамках п.13 Правил формирования КТРУ, ст.33 Закона о контрактной системе и не подлежит обязательному включению в описание объекта закупки, в соответствии с п.4 Правил использования КТРУ, однако такая справочная информация соответствует товару, работе, услуге, указанной в позиции КТРУ, и позволяет конкретизировать, характеризует такой товар, работу и услугу.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Исходя из вышеизложенного Комиссия Управления приходит к выводу, что справочная информация указанная в позиции КТРУ в соответствии с п.10 Правил использования КТРУ определяет соответствие позиции КТРУ тому или иному товару, работе или услуге на ряду с иной информацией, содержащейся в такой позиции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Вместе с этим, как установлено Комиссией Управления, указанные по спорным товарным позициям КТРУ не соотносятся с закупаемым Заказчиком товаром, ввиду чего не соответствуют таким изделиям и не могут быть применены </w:t>
      </w:r>
      <w:r>
        <w:rPr>
          <w:rStyle w:val="CharStyle7"/>
          <w:sz w:val="24"/>
          <w:szCs w:val="24"/>
          <w:lang w:val="en-US" w:eastAsia="en-US"/>
        </w:rPr>
        <w:t>2026-22268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при описании закупаемых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выводу, что извещение об осуществлении закупки сформировано противоречивым образом.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Заказчиком не представлено возражений по доводам изложенным в жалобе.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5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Исходя из вышеизложенного, Комиссия Управления приходит к выводу о нарушении Заказчиком ч.6 ст.23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</w:t>
        <w:tab/>
        <w:t>ст.7.30.1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86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  <w:lang w:val="en-US" w:eastAsia="en-US"/>
        </w:rPr>
        <w:t xml:space="preserve">. </w:t>
      </w:r>
      <w:r>
        <w:rPr>
          <w:rStyle w:val="CharStyle7"/>
        </w:rPr>
        <w:t xml:space="preserve">В составе жалобы Заявитель также указывает, что Заказчиком установлены взаимоисключающие характеристики в отношении вышеуказанного товара, а именно товара по п.28 «Нить хирургическая из полиэфира, нерассасывающаяся, полинить» КТРУ </w:t>
      </w:r>
      <w:r>
        <w:rPr>
          <w:rStyle w:val="CharStyle7"/>
          <w:lang w:val="en-US" w:eastAsia="en-US"/>
        </w:rPr>
        <w:t xml:space="preserve">21.20.24.120-00000032 </w:t>
      </w:r>
      <w:r>
        <w:rPr>
          <w:rStyle w:val="CharStyle7"/>
        </w:rPr>
        <w:t xml:space="preserve">Заказчик объединил требования, которые не могут быть реализованы в одном медицинском изделии в силу их функциональной несовместимости, а именно: </w:t>
      </w:r>
      <w:r>
        <w:rPr>
          <w:rStyle w:val="CharStyle7"/>
          <w:lang w:val="en-US" w:eastAsia="en-US"/>
        </w:rPr>
        <w:t xml:space="preserve">PTFE-прокладки — </w:t>
      </w:r>
      <w:r>
        <w:rPr>
          <w:rStyle w:val="CharStyle7"/>
        </w:rPr>
        <w:t xml:space="preserve">применяются исключительно в кардиохирургии для армирования шовных линий </w:t>
      </w:r>
      <w:r>
        <w:rPr>
          <w:rStyle w:val="CharStyle7"/>
          <w:lang w:val="en-US" w:eastAsia="en-US"/>
        </w:rPr>
        <w:t xml:space="preserve">(ASTM F754-00); </w:t>
      </w:r>
      <w:r>
        <w:rPr>
          <w:rStyle w:val="CharStyle7"/>
        </w:rPr>
        <w:t xml:space="preserve">чёрная атравматическая игла с антибликовым покрытием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используется в микрохирургии и офтальмологии; антибактериальное покрытие с нитроксолином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фармакологически не обосновано для сердечно-сосудистой хирургии, применяется в урологии; два типа игл на одной нити (колющая и обратно-режущая)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конструктивно не предусмотрены для одновременного решения задач, требующих применения </w:t>
      </w:r>
      <w:r>
        <w:rPr>
          <w:rStyle w:val="CharStyle7"/>
          <w:lang w:val="en-US" w:eastAsia="en-US"/>
        </w:rPr>
        <w:t xml:space="preserve">PTFE-прокладок </w:t>
      </w:r>
      <w:r>
        <w:rPr>
          <w:rStyle w:val="CharStyle7"/>
        </w:rPr>
        <w:t>и антибактериального покрытия.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Сочетание перечисленных характеристик в одном изделии является логически и технически невозможным, что исключает наличие на рынке зарегистрированного медицинского изделия, одновременно соответствующего всем требованиям.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>Заказчиком не представлено возражений по доводам изложенным в жалобе.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Таким образом, в отсутствии иных обстоятельств, Комиссия Управления признает данный довод жалобы 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5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Исходя из вышеизложенного,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</w:t>
        <w:tab/>
        <w:t>ст.7.30.1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5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.Признать жалобу ООО «КОРИК» на действия ГБУЗ «НИИ СП им. Н. В. Склифосовского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0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.Признать в действиях Заказчика нарушение ч.1 ст.14, п.15 ч.1 ст.42, п.2 ч.29 ст.34, ч.6 ст.23,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0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.Обязательное для исполнения предписание об устранении нарушений законодательства о контрактной системе не выдавать, так как закупка отменена по решению Заказчика от </w:t>
      </w:r>
      <w:r>
        <w:rPr>
          <w:rStyle w:val="CharStyle7"/>
          <w:lang w:val="en-US" w:eastAsia="en-US"/>
        </w:rPr>
        <w:t xml:space="preserve">30.04.2026 </w:t>
      </w:r>
      <w:r>
        <w:rPr>
          <w:rStyle w:val="CharStyle7"/>
        </w:rPr>
        <w:t>№ИО1.</w:t>
      </w:r>
    </w:p>
    <w:p>
      <w:pPr>
        <w:pStyle w:val="Style6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280" w:line="254" w:lineRule="auto"/>
        <w:ind w:left="0" w:right="0" w:firstLine="700"/>
        <w:jc w:val="both"/>
      </w:pPr>
      <w:r>
        <w:rPr>
          <w:rStyle w:val="CharStyle7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174" w:right="535" w:bottom="247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191770" distL="0" distR="0" simplePos="0" relativeHeight="12582938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342900</wp:posOffset>
                </wp:positionV>
                <wp:extent cx="1844040" cy="2501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8.pt;margin-top:27.pt;width:145.20000000000002pt;height:19.699999999999999pt;z-index:-125829365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0690" distB="0" distL="0" distR="1816735" simplePos="0" relativeHeight="125829390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440690</wp:posOffset>
            </wp:positionV>
            <wp:extent cx="298450" cy="347345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60000000000002pt;margin-top:3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91770" distL="0" distR="0" simplePos="0" relativeHeight="125829391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342900</wp:posOffset>
                </wp:positionV>
                <wp:extent cx="1136650" cy="2501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78.69999999999999pt;margin-top:27.pt;width:89.5pt;height:19.699999999999999pt;z-index:-125829362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D5D5D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93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77.60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Матюшенко Александр Александрович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4F595A5C3E5ABB2DD77161F08559FC07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/>
        <w:ind w:right="0" w:firstLine="0"/>
        <w:jc w:val="left"/>
      </w:pPr>
      <w:r>
        <w:rPr>
          <w:rStyle w:val="CharStyle23"/>
        </w:rPr>
        <w:t xml:space="preserve">Действителен с 22.07.2025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94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77.60000000000002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ПЕРЕВЕРЗЕВА ЕЛИЗАВЕТА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60"/>
        <w:ind w:right="0" w:firstLine="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06.03.2027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32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2026-22268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5.3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2026-22268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10217150</wp:posOffset>
              </wp:positionV>
              <wp:extent cx="734695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2026-22268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804.5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2026-22268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2026-22268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95.30000000000007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2026-22268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2026-22268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050000000000004pt;margin-top:795.30000000000007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2026-22268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2026-22268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7.050000000000004pt;margin-top:795.30000000000007pt;width:56.899999999999999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2026-22268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476250</wp:posOffset>
              </wp:positionV>
              <wp:extent cx="14922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5.69999999999999pt;margin-top:37.5pt;width:11.7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5557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5.85000000000002pt;margin-top:37.5pt;width:12.2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476250</wp:posOffset>
              </wp:positionV>
              <wp:extent cx="14922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5.69999999999999pt;margin-top:37.5pt;width:11.75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5557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5.85000000000002pt;margin-top:37.5pt;width:12.25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476250</wp:posOffset>
              </wp:positionV>
              <wp:extent cx="149225" cy="10668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5.69999999999999pt;margin-top:37.5pt;width:11.75pt;height:8.4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476250</wp:posOffset>
              </wp:positionV>
              <wp:extent cx="155575" cy="10350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5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5.85000000000002pt;margin-top:37.5pt;width:12.25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3882390</wp:posOffset>
              </wp:positionH>
              <wp:positionV relativeFrom="page">
                <wp:posOffset>476250</wp:posOffset>
              </wp:positionV>
              <wp:extent cx="149225" cy="10668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305.69999999999999pt;margin-top:37.5pt;width:11.75pt;height:8.40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3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  <w:spacing w:after="10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image" Target="media/image3.jpeg"/><Relationship Id="rId26" Type="http://schemas.openxmlformats.org/officeDocument/2006/relationships/image" Target="media/image3.jpeg" TargetMode="External"/><Relationship Id="rId27" Type="http://schemas.openxmlformats.org/officeDocument/2006/relationships/image" Target="media/image4.jpeg"/><Relationship Id="rId28" Type="http://schemas.openxmlformats.org/officeDocument/2006/relationships/image" Target="media/image4.jpeg" TargetMode="External"/><Relationship Id="rId29" Type="http://schemas.openxmlformats.org/officeDocument/2006/relationships/image" Target="media/image5.jpeg"/><Relationship Id="rId30" Type="http://schemas.openxmlformats.org/officeDocument/2006/relationships/image" Target="media/image5.jpeg" TargetMode="External"/></Relationships>
</file>