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8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8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8"/>
          <w:sz w:val="16"/>
          <w:szCs w:val="16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color w:val="476198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color w:val="476198"/>
          <w:sz w:val="16"/>
          <w:szCs w:val="16"/>
          <w:lang w:val="en-US" w:eastAsia="en-US"/>
        </w:rPr>
        <w:t>to26@fas.gov.ru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2.05.2026</w:t>
        <w:tab/>
      </w:r>
      <w:r>
        <w:fldChar w:fldCharType="end"/>
      </w:r>
      <w:r>
        <w:rPr>
          <w:rStyle w:val="CharStyle12"/>
        </w:rPr>
        <w:t>№ ЕС/4953/26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8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ООО ЧОО «Синдикат»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Советская пл., д. 8, г. Коломна, 140407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"mailto:chosyndicate@mail.ru"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chosyndicate@mail.ru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ГБУЗ СК «Пятигорская городская детская больница»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Пушкинская ул., д. 4, г. Пятигорск,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357519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863" w:bottom="1312" w:left="1135" w:header="0" w:footer="3" w:gutter="0"/>
          <w:pgNumType w:start="1"/>
          <w:cols w:num="2" w:space="720" w:equalWidth="0">
            <w:col w:w="4186" w:space="1080"/>
            <w:col w:w="463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"mailto:torgigdb@mail.ru" </w:instrText>
      </w:r>
      <w:r>
        <w:fldChar w:fldCharType="separate"/>
      </w:r>
      <w:r>
        <w:rPr>
          <w:rStyle w:val="CharStyle15"/>
          <w:lang w:val="en-US" w:eastAsia="en-US"/>
        </w:rPr>
        <w:t>torgigdb@mail.ru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8" w:right="0" w:bottom="8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</w:t>
        <w:br/>
        <w:t>по делу № 026/06/105-972/2026</w:t>
        <w:br/>
        <w:t>о нарушении законодательства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558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5"/>
        </w:rPr>
        <w:t>06.05.2026 года</w:t>
        <w:tab/>
        <w:t>г. Ставрополь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Председателя Комиссии, заместителя управления Управления Федеральной антимонопольной службы по Ставропольскому краю Соколова Е.А.,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начальника отдела Управления Федеральной антимонопольной службы по Ставропольскому краю Лазебного А.Ю.,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ведущего специалиста-эксперта отдела Управления Федеральной антимонопольной службы по Ставропольскому краю Дзыба А.З.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15"/>
        </w:rPr>
        <w:t>В присутствии представителей заказчика - Ожерельевой Е.Э.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rStyle w:val="CharStyle15"/>
        </w:rPr>
        <w:t>От заявителя в отсутствие.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rStyle w:val="CharStyle15"/>
        </w:rPr>
        <w:t>В Ставропольское УФАС России поступила жалоба ООО ЧОО «Синдикат» (далее — Заявитель) на действия ГБУЗ СК «Пятигорская городская детская больница» (далее — Заказчик) по факту осуществления закупки путем проведения открытого конкурса в электронной форме № 0321300168926000056 «На оказание охранных услуг».</w:t>
      </w:r>
    </w:p>
    <w:p>
      <w:pPr>
        <w:widowControl w:val="0"/>
        <w:spacing w:line="1" w:lineRule="exact"/>
      </w:pPr>
      <w:r>
        <w:drawing>
          <wp:anchor distT="1524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152400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Жалоба в порядке статьей </w:t>
      </w:r>
      <w:r>
        <w:rPr>
          <w:rStyle w:val="CharStyle15"/>
          <w:lang w:val="en-US" w:eastAsia="en-US"/>
        </w:rPr>
        <w:t xml:space="preserve">105, 106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Закон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44-ФЗ) принята к рассмотрению и назначена на </w:t>
      </w:r>
      <w:r>
        <w:rPr>
          <w:rStyle w:val="CharStyle15"/>
          <w:lang w:val="en-US" w:eastAsia="en-US"/>
        </w:rPr>
        <w:t xml:space="preserve">06.05.2026 </w:t>
      </w:r>
      <w:r>
        <w:rPr>
          <w:rStyle w:val="CharStyle15"/>
        </w:rPr>
        <w:t>г. с вызовом сторон по делу.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  <w:lang w:val="en-US" w:eastAsia="en-US"/>
        </w:rPr>
        <w:t xml:space="preserve">06.05.2026 </w:t>
      </w:r>
      <w:r>
        <w:rPr>
          <w:rStyle w:val="CharStyle15"/>
        </w:rPr>
        <w:t xml:space="preserve">г. комиссия, выслушав пояснения Заказчика, проанализировав имеющиеся в деле документы, проведя в соответствии со статьей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№44-ФЗ внеплановую проверку закупки установила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Заказчиком </w:t>
      </w:r>
      <w:r>
        <w:rPr>
          <w:rStyle w:val="CharStyle15"/>
          <w:lang w:val="en-US" w:eastAsia="en-US"/>
        </w:rPr>
        <w:t xml:space="preserve">15.04.2026 </w:t>
      </w:r>
      <w:r>
        <w:rPr>
          <w:rStyle w:val="CharStyle15"/>
        </w:rPr>
        <w:t xml:space="preserve">г. в ЕИС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  <w:lang w:val="en-US" w:eastAsia="en-US"/>
        </w:rPr>
        <w:t>zakupki.gov.ru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>размещено извещение об осуществлении закупки предметом которой является оказания услуг охраны и безопасности.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>ООО ЧОО «Синдикат» не согласившись с требованиями извещения подало жалобу.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9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Заявитель указывает, что Заказчик требует одновременного выполнения монтажа оборудования за счёт исполнителя, обслуживания технических средств охраны (ТСО) и физической охраны, что, по мнению Заявителя, нарушает 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заказчик вправе определить объект закупки с учётом технологически и функционально связанных между собой товаров, работ, услуг.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Объект закупки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детская больница, относится к объектам с круглосуточным пребыванием несовершеннолетних и повышенными требованиями к антитеррористической защищённости.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Требование о монтаже и обслуживании ТСО обусловлено необходимостью обеспечения работоспособности системы охраны и непосредственно связано с предметом закупки (оказание охранных услуг). Объединение указанных услуг в одной закупке не противоречит законодательству, поскольку направлено на достижение единого результата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обеспечение безопасности учреждения.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>Таким образом, довод заявителя не нашёл своего подтверждения и является необоснованным.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Заявитель указывает, что установленное Заказчиком требование о наличии у участника закупки лицензии на частную охранную деятельность, включающей одновременно право на охрану объектов и право на монтаж, эксплуатационное обслуживание технических средств охраны (ТСО), неправомерно ограничивает круг потенциальных участников и нарушает часть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31З 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</w:t>
      </w:r>
      <w:r>
        <w:rPr>
          <w:rStyle w:val="CharStyle15"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при осуществлении закупки заказчик устанавливает единые требования к участникам закупки, в том числе о соответствии требованиям, установленным законодательством Российской Федерации к лицам, осуществляющим поставку товара, выполнение работы оказание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Согласно статье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Закона Российской Федерации от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марта </w:t>
      </w:r>
      <w:r>
        <w:rPr>
          <w:rStyle w:val="CharStyle15"/>
          <w:lang w:val="en-US" w:eastAsia="en-US"/>
        </w:rPr>
        <w:t xml:space="preserve">1992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2487-1 </w:t>
      </w:r>
      <w:r>
        <w:rPr>
          <w:rStyle w:val="CharStyle15"/>
        </w:rPr>
        <w:t xml:space="preserve">«О частной детективной и охранной деятельности в Российской Федерации»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Закон </w:t>
      </w:r>
      <w:r>
        <w:rPr>
          <w:rStyle w:val="CharStyle15"/>
          <w:lang w:val="en-US" w:eastAsia="en-US"/>
        </w:rPr>
        <w:t xml:space="preserve">№ 2487-1), </w:t>
      </w:r>
      <w:r>
        <w:rPr>
          <w:rStyle w:val="CharStyle15"/>
        </w:rPr>
        <w:t xml:space="preserve">частная охранная деятельность включает в себя несколько видов услуг, перечисленных в 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указанного Закона. Среди них: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 xml:space="preserve">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защищённости (пункт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>3);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 xml:space="preserve">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 (пункт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>3).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 xml:space="preserve">Указанные виды услуг являются разными лицензируемыми видами охранных услуг, однако законодательство не запрещает частной охранной организации иметь лицензию, включающую одновременно несколько видов услуг. Более того, пункт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2487-1 </w:t>
      </w:r>
      <w:r>
        <w:rPr>
          <w:rStyle w:val="CharStyle15"/>
        </w:rPr>
        <w:t>прямо предусматривает возможность осуществления охранной деятельности, связанной с монтажом и обслуживанием ТСО, в рамках единой лицензии наряду с иными разрешёнными видами услуг.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>Таким образом, довод является необоснованным.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3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 xml:space="preserve">Заявитель указывает, что установленные Заказчиком критерии оценки не ограничены и не соразмерны объёму закупки, что, по его мнению, нарушает статьи </w:t>
      </w:r>
      <w:r>
        <w:rPr>
          <w:rStyle w:val="CharStyle15"/>
          <w:lang w:val="en-US" w:eastAsia="en-US"/>
        </w:rPr>
        <w:t xml:space="preserve">32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 xml:space="preserve">Комиссией установлено, что Заказчиком критерии оценки определены в соответствии с Постановлением Правительства РФ от </w:t>
      </w:r>
      <w:r>
        <w:rPr>
          <w:rStyle w:val="CharStyle15"/>
          <w:lang w:val="en-US" w:eastAsia="en-US"/>
        </w:rPr>
        <w:t xml:space="preserve">31.12.2021 № 2604 </w:t>
      </w:r>
      <w:r>
        <w:rPr>
          <w:rStyle w:val="CharStyle15"/>
        </w:rPr>
        <w:t xml:space="preserve">«Об оценке заявок на участие в закупке товаров, работ, услуг для обеспечения государственных и муниципальных нужд». Кроме того, Заказчиком </w:t>
      </w:r>
      <w:r>
        <w:rPr>
          <w:rStyle w:val="CharStyle15"/>
          <w:lang w:val="en-US" w:eastAsia="en-US"/>
        </w:rPr>
        <w:t xml:space="preserve">24.04.2026 </w:t>
      </w:r>
      <w:r>
        <w:rPr>
          <w:rStyle w:val="CharStyle15"/>
        </w:rPr>
        <w:t xml:space="preserve">по результатам рассмотрения запроса Заявителя были внесены изменения в Приложение </w:t>
      </w:r>
      <w:r>
        <w:rPr>
          <w:rStyle w:val="CharStyle15"/>
          <w:lang w:val="en-US" w:eastAsia="en-US"/>
        </w:rPr>
        <w:t xml:space="preserve">№ 4 </w:t>
      </w:r>
      <w:r>
        <w:rPr>
          <w:rStyle w:val="CharStyle15"/>
        </w:rPr>
        <w:t xml:space="preserve">«Порядок рассмотрения и оценки заявок», в частности установлено предельное максимальное значение характеристики «Наличие у участников закупки специалистов и иных работников, имеющих удостоверение частных охранников не ниже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разряда, прошедших курсы повышения квалификации по охране и обеспечению антитеррористической защищённости и безопасности объектов с массовым пребыванием граждан».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>Доказательств того, что установленные критерии являются несоразмерными или создают преимущества отдельным участникам, Заявителем не представлено. Отсутствие конкретного обоснования не позволяет Комиссии признать довод 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>В связи с изложенным довод жалобы является необоснованным.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3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>Заявитель утверждает, что Заказчик исключает из оценки опыт исполнения контрактов, по которым были начислены неустойки (штрафы, пени).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 xml:space="preserve">Комиссией установлено, что в Приложении </w:t>
      </w:r>
      <w:r>
        <w:rPr>
          <w:rStyle w:val="CharStyle15"/>
          <w:lang w:val="en-US" w:eastAsia="en-US"/>
        </w:rPr>
        <w:t xml:space="preserve">№ 4 </w:t>
      </w:r>
      <w:r>
        <w:rPr>
          <w:rStyle w:val="CharStyle15"/>
        </w:rPr>
        <w:t>«Порядок рассмотрения и оценки заявок» к конкурсной документации Заказчиком прямо указано: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>«К оценке принимается исключительно исполненный контракт (контракты)/договор (договоры), при исполнении которого поставщиком (подрядчиком, исполнителем) исполнены требования об уплате неустоек (штрафов пеней) (в случае начисления неустоек)».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Данное положение полностью соответствует подпункту «в» пункта </w:t>
      </w:r>
      <w:r>
        <w:rPr>
          <w:rStyle w:val="CharStyle15"/>
          <w:lang w:val="en-US" w:eastAsia="en-US"/>
        </w:rPr>
        <w:t xml:space="preserve">28 </w:t>
      </w:r>
      <w:r>
        <w:rPr>
          <w:rStyle w:val="CharStyle15"/>
        </w:rPr>
        <w:t xml:space="preserve">Постановления Правительства РФ от </w:t>
      </w:r>
      <w:r>
        <w:rPr>
          <w:rStyle w:val="CharStyle15"/>
          <w:lang w:val="en-US" w:eastAsia="en-US"/>
        </w:rPr>
        <w:t xml:space="preserve">31.12.2021 № 2604, </w:t>
      </w:r>
      <w:r>
        <w:rPr>
          <w:rStyle w:val="CharStyle15"/>
        </w:rPr>
        <w:t>который допускает оценку контрактов при условии исполнения обязательств по уплате начисленных неустоек. Таким образом, Заказчик не исключает контракты с неустойками, а устанавливает условие их допуска к оценке при подтверждении факта уплаты.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>Таким образом, довод жалобы является необоснованным.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0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Заявитель указывает, что требования о прибытии группы быстрого реагирования в течение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>минут и наличии служебного огнестрельного оружия установлены Заказчиком без должного обоснования.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>Комиссией установлено, что оспариваемые требования Заказчика содержат прямое обоснование со ссылками на: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ГОСТ Р </w:t>
      </w:r>
      <w:r>
        <w:rPr>
          <w:rStyle w:val="CharStyle15"/>
          <w:lang w:val="en-US" w:eastAsia="en-US"/>
        </w:rPr>
        <w:t xml:space="preserve">59044-2020 </w:t>
      </w:r>
      <w:r>
        <w:rPr>
          <w:rStyle w:val="CharStyle15"/>
        </w:rPr>
        <w:t>«Национальный стандарт Российской Федерации. Охранная деятельность. Оказание охранных услуг, связанных с принятием соответствующих мер реагирования на сигнальную информацию технических средств охраны. Общие требования» (требования к времени прибытия мобильной группы охраны);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Постановление Правительства РФ от </w:t>
      </w:r>
      <w:r>
        <w:rPr>
          <w:rStyle w:val="CharStyle15"/>
          <w:lang w:val="en-US" w:eastAsia="en-US"/>
        </w:rPr>
        <w:t xml:space="preserve">13.01.2017 № 8 </w:t>
      </w:r>
      <w:r>
        <w:rPr>
          <w:rStyle w:val="CharStyle15"/>
        </w:rPr>
        <w:t xml:space="preserve">«Об утверждении требований к антитеррористической защищенности объектов (территорий) Министерства здравоохранения Российской </w:t>
      </w:r>
      <w:r>
        <w:rPr>
          <w:rStyle w:val="CharStyle15"/>
          <w:lang w:val="en-US" w:eastAsia="en-US"/>
        </w:rPr>
        <w:t>Федерации…».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Объект закупки относится к объектам с массовым пребыванием граждан и подлежит обязательной антитеррористической защите в соответствии с вышеуказанными нормативными актами. Требования о минимальном времени прибытия группы быстрого реагирования </w:t>
      </w:r>
      <w:r>
        <w:rPr>
          <w:rStyle w:val="CharStyle15"/>
          <w:lang w:val="en-US" w:eastAsia="en-US"/>
        </w:rPr>
        <w:t xml:space="preserve">(15 </w:t>
      </w:r>
      <w:r>
        <w:rPr>
          <w:rStyle w:val="CharStyle15"/>
        </w:rPr>
        <w:t>минут) и наличии оружия являются стандартными для объектов данной категории, предусмотрены действующим законодательством и не могут рассматриваться как избыточные.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>Заявителем не представлено доказательств того, что указанные требования не соответствуют законодательству или носят дискриминационный характер.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>В связи с изложенным довод жалобы является необоснованным.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  <w:color w:val="111111"/>
        </w:rPr>
        <w:t>По доводу о нарушении при формировании начальной максимальной цены контракта, Комиссия отмечает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  <w:color w:val="111111"/>
        </w:rPr>
        <w:t xml:space="preserve">В соответствии с положениями части </w:t>
      </w:r>
      <w:r>
        <w:rPr>
          <w:rStyle w:val="CharStyle15"/>
          <w:color w:val="111111"/>
          <w:lang w:val="en-US" w:eastAsia="en-US"/>
        </w:rPr>
        <w:t xml:space="preserve">8 </w:t>
      </w:r>
      <w:r>
        <w:rPr>
          <w:rStyle w:val="CharStyle15"/>
          <w:color w:val="111111"/>
        </w:rPr>
        <w:t xml:space="preserve">статьи </w:t>
      </w:r>
      <w:r>
        <w:rPr>
          <w:rStyle w:val="CharStyle15"/>
          <w:color w:val="111111"/>
          <w:lang w:val="en-US" w:eastAsia="en-US"/>
        </w:rPr>
        <w:t xml:space="preserve">99 </w:t>
      </w:r>
      <w:r>
        <w:rPr>
          <w:rStyle w:val="CharStyle15"/>
          <w:color w:val="111111"/>
        </w:rPr>
        <w:t xml:space="preserve">Закона №44-ФЗ органы внутреннего государственного (муниципального) финансового контроля осуществляют контроль (за исключением контроля, предусмотренного частью </w:t>
      </w:r>
      <w:r>
        <w:rPr>
          <w:rStyle w:val="CharStyle15"/>
          <w:color w:val="111111"/>
          <w:lang w:val="en-US" w:eastAsia="en-US"/>
        </w:rPr>
        <w:t xml:space="preserve">10 </w:t>
      </w:r>
      <w:r>
        <w:rPr>
          <w:rStyle w:val="CharStyle15"/>
          <w:color w:val="111111"/>
        </w:rPr>
        <w:t xml:space="preserve">статьи </w:t>
      </w:r>
      <w:r>
        <w:rPr>
          <w:rStyle w:val="CharStyle15"/>
          <w:color w:val="111111"/>
          <w:lang w:val="en-US" w:eastAsia="en-US"/>
        </w:rPr>
        <w:t xml:space="preserve">99 </w:t>
      </w:r>
      <w:r>
        <w:rPr>
          <w:rStyle w:val="CharStyle15"/>
          <w:color w:val="111111"/>
        </w:rPr>
        <w:t>Закона №44-ФЗ) в отношении, в том числе за: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9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  <w:color w:val="111111"/>
        </w:rPr>
        <w:t>определением и обоснования начальной (максимальной) цены контракта, цены контракта, заключаемого с единственным поставщиком (подрядчиком исполнителем), начальной цены единицы товара, работы, услуги, начальной суммы цен единиц товара, работы, услуги.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  <w:color w:val="111111"/>
        </w:rPr>
        <w:t xml:space="preserve">Таким образом, Управление не наделено полномочиями осуществлять контроль за соблюдением обоснования начальной максимальной цены контракта, поскольку согласно положений статьи </w:t>
      </w:r>
      <w:r>
        <w:rPr>
          <w:rStyle w:val="CharStyle15"/>
          <w:color w:val="111111"/>
          <w:lang w:val="en-US" w:eastAsia="en-US"/>
        </w:rPr>
        <w:t xml:space="preserve">99 </w:t>
      </w:r>
      <w:r>
        <w:rPr>
          <w:rStyle w:val="CharStyle15"/>
          <w:color w:val="111111"/>
        </w:rPr>
        <w:t>Закона №44-ФЗ и иных нормативно правовых актов определяющих функции и полномочия государственных и муниципальных органов контроль в сфере закупок осуществляют органы контроля в пределах их полномочий в том числе:</w:t>
      </w:r>
      <w:r>
        <w:br w:type="page"/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0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органы внутреннего государственного (муниципального) финансового контроля, определенные в соответствии с Бюджетным кодексом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Доводы приведенные в ходе рассмотрения дела в письменной форме, не нашедшие отражения в настоящем решении, не нашли своего подтверждения и не могли повлиять на изложенные выводы.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rStyle w:val="CharStyle15"/>
        </w:rPr>
        <w:t xml:space="preserve">Комиссия, руководствуясь статьями </w:t>
      </w:r>
      <w:r>
        <w:rPr>
          <w:rStyle w:val="CharStyle15"/>
          <w:lang w:val="en-US" w:eastAsia="en-US"/>
        </w:rPr>
        <w:t xml:space="preserve">99, 106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года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 xml:space="preserve">РЕШИЛА </w:t>
      </w:r>
      <w:r>
        <w:rPr>
          <w:rStyle w:val="CharStyle15"/>
          <w:b/>
          <w:bCs/>
          <w:lang w:val="en-US" w:eastAsia="en-US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Признать жалобу ООО ЧОО «Синдикат» на действия ГБУЗ СК «Пятигорская городская детская больница» по факту осуществления закупки путем проведения открытого конкурса в электронной форме </w:t>
      </w:r>
      <w:r>
        <w:rPr>
          <w:rStyle w:val="CharStyle15"/>
          <w:lang w:val="en-US" w:eastAsia="en-US"/>
        </w:rPr>
        <w:t xml:space="preserve">№ 0321300168926000056 </w:t>
      </w:r>
      <w:r>
        <w:rPr>
          <w:rStyle w:val="CharStyle15"/>
        </w:rPr>
        <w:t xml:space="preserve">«На оказание охранных услуг»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необоснованной.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Передать жалобу в Министерство финансов Ставропольского края, в части обоснованности </w:t>
      </w:r>
      <w:r>
        <w:rPr>
          <w:rStyle w:val="CharStyle15"/>
          <w:color w:val="111111"/>
        </w:rPr>
        <w:t>формирования начальной максимальной цены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8" w:right="766" w:bottom="814" w:left="87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204470" distL="0" distR="0" simplePos="0" relativeHeight="125829379" behindDoc="0" locked="0" layoutInCell="1" allowOverlap="1">
                <wp:simplePos x="0" y="0"/>
                <wp:positionH relativeFrom="page">
                  <wp:posOffset>596265</wp:posOffset>
                </wp:positionH>
                <wp:positionV relativeFrom="paragraph">
                  <wp:posOffset>292100</wp:posOffset>
                </wp:positionV>
                <wp:extent cx="1825625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.950000000000003pt;margin-top:23.pt;width:143.75pt;height:19.900000000000002pt;z-index:-125829374;mso-wrap-distance-left:0;mso-wrap-distance-top:23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3540" distB="0" distL="0" distR="1804670" simplePos="0" relativeHeight="125829381" behindDoc="0" locked="0" layoutInCell="1" allowOverlap="1">
            <wp:simplePos x="0" y="0"/>
            <wp:positionH relativeFrom="page">
              <wp:posOffset>2531745</wp:posOffset>
            </wp:positionH>
            <wp:positionV relativeFrom="paragraph">
              <wp:posOffset>383540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2927985</wp:posOffset>
                </wp:positionH>
                <wp:positionV relativeFrom="paragraph">
                  <wp:posOffset>453390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0.55000000000001pt;margin-top:35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204470" distL="0" distR="0" simplePos="0" relativeHeight="125829382" behindDoc="0" locked="0" layoutInCell="1" allowOverlap="1">
                <wp:simplePos x="0" y="0"/>
                <wp:positionH relativeFrom="page">
                  <wp:posOffset>6009640</wp:posOffset>
                </wp:positionH>
                <wp:positionV relativeFrom="paragraph">
                  <wp:posOffset>292100</wp:posOffset>
                </wp:positionV>
                <wp:extent cx="102997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3.19999999999999pt;margin-top:23.pt;width:81.100000000000009pt;height:19.900000000000002pt;z-index:-125829371;mso-wrap-distance-left:0;mso-wrap-distance-top:23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3"/>
          <w:color w:val="FFFFFF"/>
          <w:sz w:val="11"/>
          <w:szCs w:val="11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3"/>
        </w:rPr>
        <w:t xml:space="preserve">Кому </w:t>
      </w:r>
      <w:r>
        <w:rPr>
          <w:rStyle w:val="CharStyle23"/>
          <w:color w:val="555555"/>
        </w:rPr>
        <w:t xml:space="preserve">выдан: </w:t>
      </w:r>
      <w:r>
        <w:rPr>
          <w:rStyle w:val="CharStyle23"/>
          <w:color w:val="000000"/>
          <w:sz w:val="11"/>
          <w:szCs w:val="11"/>
        </w:rPr>
        <w:t>Соколов Евгений Анатольевич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00FA6B784FE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99EF6925BAD25</w:t>
      </w:r>
      <w:r>
        <w:rPr>
          <w:rStyle w:val="CharStyle23"/>
          <w:color w:val="292929"/>
        </w:rPr>
        <w:t>1</w:t>
      </w:r>
      <w:r>
        <w:rPr>
          <w:rStyle w:val="CharStyle23"/>
          <w:color w:val="555555"/>
        </w:rPr>
        <w:t>7В93ЕВ06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3"/>
        </w:rPr>
        <w:t xml:space="preserve">Действителен с 12.03.2026 </w:t>
      </w:r>
      <w:r>
        <w:rPr>
          <w:rStyle w:val="CharStyle23"/>
          <w:color w:val="555555"/>
        </w:rPr>
        <w:t>по 05.06.2027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6" w:bottom="146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8750" distB="0" distL="0" distR="0" simplePos="0" relativeHeight="125829384" behindDoc="0" locked="0" layoutInCell="1" allowOverlap="1">
                <wp:simplePos x="0" y="0"/>
                <wp:positionH relativeFrom="page">
                  <wp:posOffset>2927985</wp:posOffset>
                </wp:positionH>
                <wp:positionV relativeFrom="paragraph">
                  <wp:posOffset>158750</wp:posOffset>
                </wp:positionV>
                <wp:extent cx="1722120" cy="25908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Georgia" w:eastAsia="Georgia" w:hAnsi="Georgia" w:cs="Georgia"/>
                                <w:color w:val="292929"/>
                                <w:sz w:val="11"/>
                                <w:szCs w:val="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0.55000000000001pt;margin-top:12.5pt;width:135.59999999999999pt;height:20.400000000000002pt;z-index:-125829369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Georgia" w:eastAsia="Georgia" w:hAnsi="Georgia" w:cs="Georgia"/>
                          <w:color w:val="292929"/>
                          <w:sz w:val="11"/>
                          <w:szCs w:val="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6" behindDoc="0" locked="0" layoutInCell="1" allowOverlap="1">
                <wp:simplePos x="0" y="0"/>
                <wp:positionH relativeFrom="page">
                  <wp:posOffset>5817235</wp:posOffset>
                </wp:positionH>
                <wp:positionV relativeFrom="paragraph">
                  <wp:posOffset>0</wp:posOffset>
                </wp:positionV>
                <wp:extent cx="122237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237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А.Ю. Лазебный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8.05000000000001pt;margin-top:0;width:96.25pt;height:19.699999999999999pt;z-index:-125829367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А.Ю. Лазебный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rStyle w:val="CharStyle23"/>
          <w:color w:val="FFFFFF"/>
          <w:sz w:val="11"/>
          <w:szCs w:val="11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  <w:sz w:val="11"/>
          <w:szCs w:val="11"/>
        </w:rPr>
        <w:t>Лазебный Александр Юрьевич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1FAD2F2CC4B78376B654DF1D38A6264B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3"/>
        </w:rPr>
        <w:t xml:space="preserve">Действителен с 01.12.2025 </w:t>
      </w:r>
      <w:r>
        <w:rPr>
          <w:rStyle w:val="CharStyle23"/>
          <w:color w:val="555555"/>
        </w:rPr>
        <w:t xml:space="preserve">по </w:t>
      </w:r>
      <w:r>
        <w:rPr>
          <w:rStyle w:val="CharStyle23"/>
        </w:rPr>
        <w:t>24.02.2027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2531745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2927985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0.55000000000001pt;margin-top:11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А.З. Дзыба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rStyle w:val="CharStyle23"/>
          <w:color w:val="FFFFFF"/>
          <w:sz w:val="11"/>
          <w:szCs w:val="11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  <w:sz w:val="11"/>
          <w:szCs w:val="11"/>
        </w:rPr>
        <w:t>Дзыба Айна Зауровна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008F955CBE98550923805A1D54A0B8306C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right="0" w:firstLine="0"/>
        <w:jc w:val="left"/>
      </w:pPr>
      <w:r>
        <w:rPr>
          <w:rStyle w:val="CharStyle23"/>
        </w:rPr>
        <w:t xml:space="preserve">Действителен с 12.11.2025 </w:t>
      </w:r>
      <w:r>
        <w:rPr>
          <w:rStyle w:val="CharStyle23"/>
          <w:color w:val="555555"/>
        </w:rPr>
        <w:t xml:space="preserve">по </w:t>
      </w:r>
      <w:r>
        <w:rPr>
          <w:rStyle w:val="CharStyle23"/>
        </w:rPr>
        <w:t>05.02.2027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Исп.Дзыба А.З.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тел.тел.(8652) 25-74-05,вн.555 +7 (499) 755-23-23, доб. 026-555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46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577850</wp:posOffset>
              </wp:positionH>
              <wp:positionV relativeFrom="page">
                <wp:posOffset>9905365</wp:posOffset>
              </wp:positionV>
              <wp:extent cx="661670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2026-5373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5.5pt;margin-top:779.95000000000005pt;width:52.10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2026-5373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9857740</wp:posOffset>
              </wp:positionV>
              <wp:extent cx="661670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2026-5373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6.20000000000005pt;width:52.100000000000001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2026-5373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3781425</wp:posOffset>
              </wp:positionH>
              <wp:positionV relativeFrom="page">
                <wp:posOffset>650240</wp:posOffset>
              </wp:positionV>
              <wp:extent cx="69850" cy="6731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7.75pt;margin-top:51.200000000000003pt;width:5.5pt;height:5.29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Heading #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1">
    <w:name w:val="Heading #1"/>
    <w:basedOn w:val="Normal"/>
    <w:link w:val="CharStyle12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spacing w:after="5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png"/><Relationship Id="rId10" Type="http://schemas.openxmlformats.org/officeDocument/2006/relationships/image" Target="media/image1.pn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