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3"/>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rStyle w:val="CharStyle3"/>
        </w:rPr>
        <w:t xml:space="preserve">На№  от</w:t>
      </w:r>
    </w:p>
    <w:p>
      <w:pPr>
        <w:spacing w:lineRule="exact" w:line="1"/>
        <w:rPr>
          <w:sz w:val="2"/>
          <w:szCs w:val="2"/>
        </w:rPr>
      </w:pPr>
      <w:r>
        <w:br w:type="column"/>
      </w:r>
    </w:p>
    <w:p>
      <w:pPr>
        <w:pStyle w:val="Style6"/>
        <w:keepNext w:val="0"/>
        <w:keepLines w:val="0"/>
        <w:widowControl w:val="0"/>
        <w:shd w:val="clear" w:color="auto" w:fill="auto"/>
        <w:bidi w:val="0"/>
        <w:spacing w:before="0" w:after="280" w:line="240" w:lineRule="auto"/>
        <w:ind w:left="0" w:right="0" w:firstLine="0"/>
        <w:jc w:val="left"/>
      </w:pPr>
      <w:r>
        <w:rPr>
          <w:rStyle w:val="CharStyle7"/>
        </w:rPr>
        <w:t>ФГБУ «НМИЦ Эндокринологии им академика И.И. Дедова» Минздрава России</w:t>
      </w:r>
    </w:p>
    <w:p>
      <w:pPr>
        <w:pStyle w:val="Style6"/>
        <w:keepNext w:val="0"/>
        <w:keepLines w:val="0"/>
        <w:widowControl w:val="0"/>
        <w:shd w:val="clear" w:color="auto" w:fill="auto"/>
        <w:bidi w:val="0"/>
        <w:spacing w:before="0" w:after="280" w:line="240" w:lineRule="auto"/>
        <w:ind w:left="0" w:right="0" w:firstLine="0"/>
        <w:jc w:val="left"/>
      </w:pPr>
      <w:r>
        <w:fldChar w:fldCharType="begin"/>
      </w:r>
      <w:r>
        <w:rPr/>
        <w:instrText> HYPERLINK "mailto:zakupky@endocrincentr.ru" </w:instrText>
      </w:r>
      <w:r>
        <w:fldChar w:fldCharType="separate"/>
      </w:r>
      <w:r>
        <w:rPr>
          <w:rStyle w:val="CharStyle7"/>
          <w:lang w:val="en-US" w:eastAsia="en-US"/>
        </w:rPr>
        <w:t>zakupky@endocrincentr.ru</w:t>
      </w:r>
      <w:r>
        <w:fldChar w:fldCharType="end"/>
      </w:r>
    </w:p>
    <w:p>
      <w:pPr>
        <w:pStyle w:val="Style6"/>
        <w:keepNext w:val="0"/>
        <w:keepLines w:val="0"/>
        <w:widowControl w:val="0"/>
        <w:shd w:val="clear" w:color="auto" w:fill="auto"/>
        <w:bidi w:val="0"/>
        <w:spacing w:before="0" w:after="280" w:line="240" w:lineRule="auto"/>
        <w:ind w:left="0" w:right="0" w:firstLine="0"/>
        <w:jc w:val="left"/>
      </w:pPr>
      <w:r>
        <w:rPr>
          <w:rStyle w:val="CharStyle7"/>
        </w:rPr>
        <w:t>ООО «Анри»</w:t>
      </w:r>
    </w:p>
    <w:p>
      <w:pPr>
        <w:pStyle w:val="Style6"/>
        <w:keepNext w:val="0"/>
        <w:keepLines w:val="0"/>
        <w:widowControl w:val="0"/>
        <w:shd w:val="clear" w:color="auto" w:fill="auto"/>
        <w:bidi w:val="0"/>
        <w:spacing w:before="0" w:after="280" w:line="240" w:lineRule="auto"/>
        <w:ind w:left="0" w:right="0" w:firstLine="0"/>
        <w:jc w:val="left"/>
      </w:pPr>
      <w:r>
        <w:fldChar w:fldCharType="begin"/>
      </w:r>
      <w:r>
        <w:rPr/>
        <w:instrText> HYPERLINK "mailto:info.anri@inbox.ru" </w:instrText>
      </w:r>
      <w:r>
        <w:fldChar w:fldCharType="separate"/>
      </w:r>
      <w:r>
        <w:rPr>
          <w:rStyle w:val="CharStyle7"/>
          <w:lang w:val="en-US" w:eastAsia="en-US"/>
        </w:rPr>
        <w:t>info.anri@inbox.ru</w:t>
      </w:r>
      <w:r>
        <w:fldChar w:fldCharType="end"/>
      </w:r>
    </w:p>
    <w:p>
      <w:pPr>
        <w:pStyle w:val="Style6"/>
        <w:keepNext w:val="0"/>
        <w:keepLines w:val="0"/>
        <w:widowControl w:val="0"/>
        <w:shd w:val="clear" w:color="auto" w:fill="auto"/>
        <w:bidi w:val="0"/>
        <w:spacing w:before="0" w:after="280" w:line="240" w:lineRule="auto"/>
        <w:ind w:left="0" w:right="0" w:firstLine="0"/>
        <w:jc w:val="left"/>
      </w:pPr>
      <w:r>
        <w:rPr>
          <w:rStyle w:val="CharStyle7"/>
        </w:rPr>
        <w:t>АО «ЭТС»</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294" w:right="1103" w:bottom="296" w:left="1135" w:header="0" w:footer="3" w:gutter="0"/>
          <w:pgNumType w:start="1"/>
          <w:cols w:num="2" w:space="878"/>
          <w:noEndnote/>
          <w:rtlGutter w:val="0"/>
          <w:docGrid w:linePitch="360"/>
        </w:sectPr>
      </w:pPr>
      <w:r>
        <w:fldChar w:fldCharType="begin"/>
      </w:r>
      <w:r>
        <w:rPr/>
        <w:instrText> HYPERLINK "mailto:info@fabrikant.ru" </w:instrText>
      </w:r>
      <w:r>
        <w:fldChar w:fldCharType="separate"/>
      </w:r>
      <w:r>
        <w:rPr>
          <w:rStyle w:val="CharStyle7"/>
          <w:lang w:val="en-US" w:eastAsia="en-US"/>
        </w:rPr>
        <w:t>info@fabrikant.ru</w:t>
      </w:r>
      <w:r>
        <w:fldChar w:fldCharType="end"/>
      </w: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294" w:left="0" w:header="0" w:footer="3" w:gutter="0"/>
          <w:cols w:space="720"/>
          <w:noEndnote/>
          <w:rtlGutter w:val="0"/>
          <w:docGrid w:linePitch="360"/>
        </w:sectPr>
      </w:pPr>
    </w:p>
    <w:p>
      <w:pPr>
        <w:pStyle w:val="Style8"/>
        <w:keepNext/>
        <w:keepLines/>
        <w:widowControl w:val="0"/>
        <w:shd w:val="clear" w:color="auto" w:fill="auto"/>
        <w:bidi w:val="0"/>
        <w:spacing w:before="0" w:after="0" w:line="240" w:lineRule="auto"/>
        <w:ind w:left="0" w:right="0" w:firstLine="0"/>
        <w:jc w:val="center"/>
      </w:pPr>
      <w:bookmarkStart w:id="0" w:name="bookmark0"/>
      <w:r>
        <w:rPr>
          <w:rStyle w:val="CharStyle9"/>
          <w:b/>
          <w:bCs/>
        </w:rPr>
        <w:t>РЕШЕНИЕ</w:t>
      </w:r>
      <w:bookmarkEnd w:id="0"/>
    </w:p>
    <w:p>
      <w:pPr>
        <w:pStyle w:val="Style6"/>
        <w:keepNext w:val="0"/>
        <w:keepLines w:val="0"/>
        <w:widowControl w:val="0"/>
        <w:shd w:val="clear" w:color="auto" w:fill="auto"/>
        <w:tabs>
          <w:tab w:pos="8952" w:val="left"/>
        </w:tabs>
        <w:bidi w:val="0"/>
        <w:spacing w:before="0" w:after="0" w:line="240" w:lineRule="auto"/>
        <w:ind w:left="0" w:right="0" w:firstLine="0"/>
        <w:jc w:val="center"/>
      </w:pPr>
      <w:r>
        <w:rPr>
          <w:rStyle w:val="CharStyle7"/>
          <w:b/>
          <w:bCs/>
        </w:rPr>
        <w:t>по делу № 077/06/105-5710/2026 о нарушении</w:t>
        <w:br/>
        <w:t>законодательства о контрактной системе</w:t>
        <w:br/>
        <w:t>06.05.2026</w:t>
        <w:tab/>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 ООО «Анри»: Шабалиной С.Ю. (дов.№07/26 от 05.05.2026), Ключко А.Н. (дов.№08/26 от 05.05.2026), Иванова К.Ф. (дов. №09/26 от 05.05.2026), ФГБУ «НМИЦ Эндокринологии им. академика И.И. Дедова» Минздрава России: Лазуткина Д.А. (дов.№203 от 27.04.2026), ООО «ПРК- Гамма»: Саченко И.А. (дов.№100 от 16.12.2025),</w:t>
      </w:r>
    </w:p>
    <w:p>
      <w:pPr>
        <w:pStyle w:val="Style6"/>
        <w:keepNext w:val="0"/>
        <w:keepLines w:val="0"/>
        <w:widowControl w:val="0"/>
        <w:shd w:val="clear" w:color="auto" w:fill="auto"/>
        <w:bidi w:val="0"/>
        <w:spacing w:before="0" w:after="180" w:line="240" w:lineRule="auto"/>
        <w:ind w:left="0" w:right="0" w:firstLine="720"/>
        <w:jc w:val="both"/>
      </w:pPr>
      <w:r>
        <w:rPr>
          <w:rStyle w:val="CharStyle7"/>
        </w:rPr>
        <w:t>рассмотрев жалобу ООО «Анри» (далее — Заявитель) на действия ФГБУ «НМИЦ Эндокринологии им. академика И.И. Дедова» Минздрава России (далее - Заказчик) при проведении электронного аукциона на право заключения государственного контракта на оказание услуг по сервисному обслуживанию технических средств комплекса автоматизации и диспетчеризации инженерного оборудования системы спецканализации баков выдержки ЖРО, комплексов радиационного контроля для ЖРО, радиационно-защитного и дозиметрического</w:t>
      </w:r>
    </w:p>
    <w:p>
      <w:pPr>
        <w:pStyle w:val="Style11"/>
        <w:keepNext w:val="0"/>
        <w:keepLines w:val="0"/>
        <w:widowControl w:val="0"/>
        <w:shd w:val="clear" w:color="auto" w:fill="auto"/>
        <w:bidi w:val="0"/>
        <w:spacing w:before="0" w:after="0" w:line="240" w:lineRule="auto"/>
        <w:ind w:left="0" w:right="0"/>
        <w:jc w:val="left"/>
      </w:pPr>
      <w:r>
        <w:rPr>
          <w:rStyle w:val="CharStyle12"/>
        </w:rPr>
        <w:t>IIIIIIIIIIIIIIIIIIIIIIIIIIII</w:t>
      </w:r>
    </w:p>
    <w:p>
      <w:pPr>
        <w:pStyle w:val="Style13"/>
        <w:keepNext w:val="0"/>
        <w:keepLines w:val="0"/>
        <w:widowControl w:val="0"/>
        <w:shd w:val="clear" w:color="auto" w:fill="auto"/>
        <w:bidi w:val="0"/>
        <w:spacing w:before="0" w:after="0" w:line="240" w:lineRule="auto"/>
        <w:ind w:left="0" w:right="0" w:firstLine="0"/>
        <w:jc w:val="both"/>
        <w:rPr>
          <w:sz w:val="24"/>
          <w:szCs w:val="24"/>
        </w:rPr>
        <w:sectPr>
          <w:footnotePr>
            <w:pos w:val="pageBottom"/>
            <w:numFmt w:val="decimal"/>
            <w:numRestart w:val="continuous"/>
          </w:footnotePr>
          <w:type w:val="continuous"/>
          <w:pgSz w:w="11900" w:h="16840"/>
          <w:pgMar w:top="294" w:right="541" w:bottom="294" w:left="1101" w:header="0" w:footer="3" w:gutter="0"/>
          <w:cols w:space="720"/>
          <w:noEndnote/>
          <w:rtlGutter w:val="0"/>
          <w:docGrid w:linePitch="360"/>
        </w:sectPr>
      </w:pPr>
      <w:r>
        <w:rPr>
          <w:rStyle w:val="CharStyle14"/>
          <w:sz w:val="24"/>
          <w:szCs w:val="24"/>
        </w:rPr>
        <w:t>2026-22934</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оборудования отделения радионуклидной диагностики и отделения радионуклидной терапии (ОРНДТ) ФГБУ «НМИЦ эндокринологии им. академика И.И. Дедова» Минздрава России по адресу: </w:t>
      </w:r>
      <w:r>
        <w:rPr>
          <w:rStyle w:val="CharStyle7"/>
          <w:lang w:val="en-US" w:eastAsia="en-US"/>
        </w:rPr>
        <w:t xml:space="preserve">117292, </w:t>
      </w:r>
      <w:r>
        <w:rPr>
          <w:rStyle w:val="CharStyle7"/>
        </w:rPr>
        <w:t xml:space="preserve">г Москва, улица Дмитрия Ульянова, дом </w:t>
      </w:r>
      <w:r>
        <w:rPr>
          <w:rStyle w:val="CharStyle7"/>
          <w:lang w:val="en-US" w:eastAsia="en-US"/>
        </w:rPr>
        <w:t xml:space="preserve">11, </w:t>
      </w:r>
      <w:r>
        <w:rPr>
          <w:rStyle w:val="CharStyle7"/>
        </w:rPr>
        <w:t xml:space="preserve">к. </w:t>
      </w:r>
      <w:r>
        <w:rPr>
          <w:rStyle w:val="CharStyle7"/>
          <w:lang w:val="en-US" w:eastAsia="en-US"/>
        </w:rPr>
        <w:t xml:space="preserve">2 </w:t>
      </w:r>
      <w:r>
        <w:rPr>
          <w:rStyle w:val="CharStyle7"/>
        </w:rPr>
        <w:t xml:space="preserve">(Закупка </w:t>
      </w:r>
      <w:r>
        <w:rPr>
          <w:rStyle w:val="CharStyle7"/>
          <w:lang w:val="en-US" w:eastAsia="en-US"/>
        </w:rPr>
        <w:t xml:space="preserve">№0373100059326000284)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 44- </w:t>
      </w:r>
      <w:r>
        <w:rPr>
          <w:rStyle w:val="CharStyle7"/>
        </w:rPr>
        <w:t xml:space="preserve">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421" w:val="left"/>
        </w:tabs>
        <w:bidi w:val="0"/>
        <w:spacing w:before="0" w:after="0" w:line="240" w:lineRule="auto"/>
        <w:ind w:left="0" w:right="0" w:firstLine="720"/>
        <w:jc w:val="both"/>
      </w:pPr>
      <w:r>
        <w:rPr>
          <w:rStyle w:val="CharStyle7"/>
        </w:rPr>
        <w:t>В составе жалобы Заявитель указывает, что в составе извещения об осуществлении закупки Заказчиком неправомерно установлено требование о наличии у участника закупки действующей лицензии на осуществление деятельности в области использования атомной энергии с указанием вида лицензируемой деятельности транспортирование (перевозка) по территории объекта использования атомной энергии до места их временного хранения (без выезда на пути сообщения общего пользования), так как в описании объекта закупки отсутствует указание на необходимость выполнения работ, предусмотренных оспариваемым требованием.</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280" w:line="240" w:lineRule="auto"/>
        <w:ind w:left="0" w:right="0" w:firstLine="720"/>
        <w:jc w:val="both"/>
      </w:pPr>
      <w:r>
        <w:rPr>
          <w:rStyle w:val="CharStyle7"/>
        </w:rPr>
        <w:t>Согласно п.5 ч.1 ст.42 Закона о контрактной системе извещение об осуществлении закупки должно содержать наименование объекта закупки,</w:t>
      </w:r>
    </w:p>
    <w:p>
      <w:pPr>
        <w:pStyle w:val="Style6"/>
        <w:keepNext w:val="0"/>
        <w:keepLines w:val="0"/>
        <w:widowControl w:val="0"/>
        <w:shd w:val="clear" w:color="auto" w:fill="auto"/>
        <w:bidi w:val="0"/>
        <w:spacing w:before="0" w:after="0" w:line="254" w:lineRule="auto"/>
        <w:ind w:left="0" w:right="0" w:firstLine="0"/>
        <w:jc w:val="both"/>
      </w:pPr>
      <w:r>
        <w:rPr>
          <w:rStyle w:val="CharStyle7"/>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54" w:lineRule="auto"/>
        <w:ind w:left="0" w:right="0" w:firstLine="700"/>
        <w:jc w:val="both"/>
      </w:pPr>
      <w:r>
        <w:rPr>
          <w:rStyle w:val="CharStyle7"/>
        </w:rPr>
        <w:t>Комиссией Управления установлено, что, согласно извещению об осуществлении закупки, объектом закупки является оказание услуг по сервисному обслуживанию технических средств комплекса автоматизации и диспетчеризации инженерного оборудования системы спецканализации баков выдержки ЖРО, комплексов радиационного контроля для ЖРО, радиационно-защитного и дозиметрического оборудования.</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Ст.5 Федерального закона от </w:t>
      </w:r>
      <w:r>
        <w:rPr>
          <w:rStyle w:val="CharStyle7"/>
          <w:lang w:val="en-US" w:eastAsia="en-US"/>
        </w:rPr>
        <w:t xml:space="preserve">21.11.1995 </w:t>
      </w:r>
      <w:r>
        <w:rPr>
          <w:rStyle w:val="CharStyle7"/>
        </w:rPr>
        <w:t xml:space="preserve">№170-ФЗ «Об использовании атомной энергии» (далее </w:t>
      </w:r>
      <w:r>
        <w:rPr>
          <w:rStyle w:val="CharStyle7"/>
          <w:lang w:val="en-US" w:eastAsia="en-US"/>
        </w:rPr>
        <w:t xml:space="preserve">— </w:t>
      </w:r>
      <w:r>
        <w:rPr>
          <w:rStyle w:val="CharStyle7"/>
        </w:rPr>
        <w:t>Закон об использовании атомной энергии), в том числе определено, что обращение с радиоактивными веществами и эксплуатацию радиационных источников, которые находятся в федеральной собственности, собственности субъектов Российской Федерации, муниципальной собственности, собственности юридических лиц, осуществляют организации, имеющие соответствующие разрешения (лицензии) на право ведения работ в области использования атомной энергии или зарегистрированные в порядке и случаях, предусмотренных ст.36.1 Закона об использовании атомной энергии.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При этом виды деятельности в области использования атомной энергии, определены ст.4 Закона об использовании атомной энергии.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Постановлением Правительства РФ от </w:t>
      </w:r>
      <w:r>
        <w:rPr>
          <w:rStyle w:val="CharStyle7"/>
          <w:lang w:val="en-US" w:eastAsia="en-US"/>
        </w:rPr>
        <w:t xml:space="preserve">29.03.2013 №280 </w:t>
      </w:r>
      <w:r>
        <w:rPr>
          <w:rStyle w:val="CharStyle7"/>
        </w:rPr>
        <w:t>«О лицензировании деятельности в области использования атомной энергии», утверждено Положение о лицензировании деятельности в области использования атомной энергии.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54" w:lineRule="auto"/>
        <w:ind w:left="0" w:right="0" w:firstLine="700"/>
        <w:jc w:val="both"/>
        <w:sectPr>
          <w:headerReference w:type="default" r:id="rId7"/>
          <w:footerReference w:type="default" r:id="rId8"/>
          <w:footnotePr>
            <w:pos w:val="pageBottom"/>
            <w:numFmt w:val="decimal"/>
            <w:numRestart w:val="continuous"/>
          </w:footnotePr>
          <w:pgSz w:w="11900" w:h="16840"/>
          <w:pgMar w:top="1162" w:right="540" w:bottom="1244" w:left="1103" w:header="0" w:footer="3" w:gutter="0"/>
          <w:cols w:space="720"/>
          <w:noEndnote/>
          <w:rtlGutter w:val="0"/>
          <w:docGrid w:linePitch="360"/>
        </w:sectPr>
      </w:pPr>
      <w:r>
        <w:rPr>
          <w:rStyle w:val="CharStyle7"/>
        </w:rPr>
        <w:t>П.12 ч.1 ст.42 Закона о контрактной системе определено,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w:t>
      </w:r>
    </w:p>
    <w:p>
      <w:pPr>
        <w:pStyle w:val="Style6"/>
        <w:keepNext w:val="0"/>
        <w:keepLines w:val="0"/>
        <w:widowControl w:val="0"/>
        <w:shd w:val="clear" w:color="auto" w:fill="auto"/>
        <w:bidi w:val="0"/>
        <w:spacing w:before="0" w:after="0" w:line="257" w:lineRule="auto"/>
        <w:ind w:left="0" w:right="0" w:firstLine="0"/>
        <w:jc w:val="both"/>
      </w:pPr>
      <w:r>
        <w:rPr>
          <w:rStyle w:val="CharStyle7"/>
        </w:rPr>
        <w:t xml:space="preserve">предъявляемые к участникам закупки в соответствии с ч.2 и </w:t>
      </w:r>
      <w:r>
        <w:rPr>
          <w:rStyle w:val="CharStyle7"/>
          <w:lang w:val="en-US" w:eastAsia="en-US"/>
        </w:rPr>
        <w:t xml:space="preserve">2.1 </w:t>
      </w:r>
      <w:r>
        <w:rPr>
          <w:rStyle w:val="CharStyle7"/>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57" w:lineRule="auto"/>
        <w:ind w:left="0" w:right="0" w:firstLine="720"/>
        <w:jc w:val="both"/>
      </w:pPr>
      <w:r>
        <w:rPr>
          <w:rStyle w:val="CharStyle7"/>
        </w:rPr>
        <w:t xml:space="preserve">В соответствии с ч.5 ст.31 Закона о контрактной системе информация об установленных требованиях в соответствии с ч.1,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57" w:lineRule="auto"/>
        <w:ind w:left="0" w:right="0" w:firstLine="720"/>
        <w:jc w:val="both"/>
      </w:pPr>
      <w:r>
        <w:rPr>
          <w:rStyle w:val="CharStyle7"/>
        </w:rPr>
        <w:t>В силу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6"/>
        <w:keepNext w:val="0"/>
        <w:keepLines w:val="0"/>
        <w:widowControl w:val="0"/>
        <w:shd w:val="clear" w:color="auto" w:fill="auto"/>
        <w:bidi w:val="0"/>
        <w:spacing w:before="0" w:after="0" w:line="257" w:lineRule="auto"/>
        <w:ind w:left="0" w:right="0" w:firstLine="720"/>
        <w:jc w:val="both"/>
      </w:pPr>
      <w:r>
        <w:rPr>
          <w:rStyle w:val="CharStyle7"/>
        </w:rPr>
        <w:t>Комиссией Управления установлено, что в извещении об осуществлении закупки Заказчиком в том числе установлено: «</w:t>
      </w:r>
      <w:r>
        <w:rPr>
          <w:rStyle w:val="CharStyle7"/>
          <w:i/>
          <w:iCs/>
        </w:rPr>
        <w:t>Наличие лицензии, выданной Федеральной службой по экологическому, технологическому и атомному надзору с лицензируемым видом деятельности на обращение с радиоактивными отходами при их хранении, переработке и транспортировании со следующими видами работ: дезактивация оборудования (в том числе оборудования для сбора и хранения РАО) контейнеров, металлоконструкций и помещений при сборе РАО, мест сбора РАО, проведение радиационного контроля при обращении с РАО, транспортирование (перевозка) по территории объекта использования атомной энергии до места их временного хранения (без выезда на пути сообщения общего пользования)</w:t>
      </w:r>
      <w:r>
        <w:rPr>
          <w:rStyle w:val="CharStyle7"/>
        </w:rPr>
        <w:t>».</w:t>
      </w:r>
    </w:p>
    <w:p>
      <w:pPr>
        <w:pStyle w:val="Style6"/>
        <w:keepNext w:val="0"/>
        <w:keepLines w:val="0"/>
        <w:widowControl w:val="0"/>
        <w:shd w:val="clear" w:color="auto" w:fill="auto"/>
        <w:bidi w:val="0"/>
        <w:spacing w:before="0" w:after="0" w:line="257" w:lineRule="auto"/>
        <w:ind w:left="0" w:right="0" w:firstLine="72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720"/>
        <w:jc w:val="both"/>
      </w:pPr>
      <w:r>
        <w:rPr>
          <w:rStyle w:val="CharStyle7"/>
        </w:rPr>
        <w:t xml:space="preserve">На заседании Комиссии Управления представитель Заказчика пояснил, что при выполнении части работ, предусмотренных Приложением </w:t>
      </w:r>
      <w:r>
        <w:rPr>
          <w:rStyle w:val="CharStyle7"/>
          <w:lang w:val="en-US" w:eastAsia="en-US"/>
        </w:rPr>
        <w:t xml:space="preserve">№1 </w:t>
      </w:r>
      <w:r>
        <w:rPr>
          <w:rStyle w:val="CharStyle7"/>
        </w:rPr>
        <w:t>«Перечень услуг по сервисному обслуживанию» возможно образование радиоактивных отходов при выполнении работ, которые, в свою очередь, необходимо транспортировать в места временного хранения, ввиду чего Заказчиком установлено оспариваемое требование к участникам закупки.</w:t>
      </w:r>
    </w:p>
    <w:p>
      <w:pPr>
        <w:pStyle w:val="Style6"/>
        <w:keepNext w:val="0"/>
        <w:keepLines w:val="0"/>
        <w:widowControl w:val="0"/>
        <w:shd w:val="clear" w:color="auto" w:fill="auto"/>
        <w:bidi w:val="0"/>
        <w:spacing w:before="0" w:after="0" w:line="257" w:lineRule="auto"/>
        <w:ind w:left="0" w:right="0" w:firstLine="720"/>
        <w:jc w:val="both"/>
      </w:pPr>
      <w:r>
        <w:rPr>
          <w:rStyle w:val="CharStyle7"/>
        </w:rPr>
        <w:t>Представитель ООО «ПРК- Гамма» на заседании Комиссии Управления также указывал на правомерность установления оспариваемого требования, так как необходимость исполнителя контракта транспортировать радиоактивные отходы в места временного хранения исходит из существа работ по обслуживанию, предусмотренных описанием объекта закупки.</w:t>
      </w:r>
    </w:p>
    <w:p>
      <w:pPr>
        <w:pStyle w:val="Style6"/>
        <w:keepNext w:val="0"/>
        <w:keepLines w:val="0"/>
        <w:widowControl w:val="0"/>
        <w:shd w:val="clear" w:color="auto" w:fill="auto"/>
        <w:bidi w:val="0"/>
        <w:spacing w:before="0" w:after="0" w:line="300" w:lineRule="auto"/>
        <w:ind w:left="0" w:right="0" w:firstLine="720"/>
        <w:jc w:val="both"/>
        <w:rPr>
          <w:sz w:val="24"/>
          <w:szCs w:val="24"/>
        </w:rPr>
      </w:pPr>
      <w:r>
        <w:rPr>
          <w:rStyle w:val="CharStyle7"/>
        </w:rPr>
        <w:t xml:space="preserve">На основании п.1 ч.2 ст.42 Закона о контрактной системе извещение об осуществлении закупки, если иное не предусмотрено Законом о контрактной </w:t>
      </w:r>
      <w:r>
        <w:rPr>
          <w:rStyle w:val="CharStyle7"/>
          <w:sz w:val="24"/>
          <w:szCs w:val="24"/>
          <w:lang w:val="en-US" w:eastAsia="en-US"/>
        </w:rPr>
        <w:t>2026-22934</w:t>
      </w:r>
    </w:p>
    <w:p>
      <w:pPr>
        <w:pStyle w:val="Style6"/>
        <w:keepNext w:val="0"/>
        <w:keepLines w:val="0"/>
        <w:widowControl w:val="0"/>
        <w:shd w:val="clear" w:color="auto" w:fill="auto"/>
        <w:bidi w:val="0"/>
        <w:spacing w:before="0" w:after="0"/>
        <w:ind w:left="0" w:right="0" w:firstLine="0"/>
        <w:jc w:val="both"/>
      </w:pPr>
      <w:r>
        <w:rPr>
          <w:rStyle w:val="CharStyle7"/>
        </w:rPr>
        <w:t>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 xml:space="preserve">Комиссией Управления установлено, что в п.3.1 описания объекта закупки в том числе указано: «Регламентное техническое обслуживание выполняется в соответствии с требованиями эксплуатационной документации, технологическими условиями и регламентами на оборудование в объеме Приложения </w:t>
      </w:r>
      <w:r>
        <w:rPr>
          <w:rStyle w:val="CharStyle7"/>
          <w:lang w:val="en-US" w:eastAsia="en-US"/>
        </w:rPr>
        <w:t xml:space="preserve">№1 </w:t>
      </w:r>
      <w:r>
        <w:rPr>
          <w:rStyle w:val="CharStyle7"/>
        </w:rPr>
        <w:t>«Перечень услуг по сервисному обслуживанию».</w:t>
      </w:r>
    </w:p>
    <w:p>
      <w:pPr>
        <w:pStyle w:val="Style6"/>
        <w:keepNext w:val="0"/>
        <w:keepLines w:val="0"/>
        <w:widowControl w:val="0"/>
        <w:shd w:val="clear" w:color="auto" w:fill="auto"/>
        <w:bidi w:val="0"/>
        <w:spacing w:before="0" w:after="0"/>
        <w:ind w:left="0" w:right="0" w:firstLine="700"/>
        <w:jc w:val="both"/>
      </w:pPr>
      <w:r>
        <w:rPr>
          <w:rStyle w:val="CharStyle7"/>
        </w:rPr>
        <w:t xml:space="preserve">При этом, как установлено Комиссией Управления, в Приложении </w:t>
      </w:r>
      <w:r>
        <w:rPr>
          <w:rStyle w:val="CharStyle7"/>
          <w:lang w:val="en-US" w:eastAsia="en-US"/>
        </w:rPr>
        <w:t xml:space="preserve">№1 </w:t>
      </w:r>
      <w:r>
        <w:rPr>
          <w:rStyle w:val="CharStyle7"/>
        </w:rPr>
        <w:t>«Перечень услуг по сервисному обслуживанию» отсутствуют услуги по транспортировке радиоактивных отходов до места их временного хранения.</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что оспариваемое требование не соотносятся с работами (услугами), подлежащими выполнении при исполнении контракта, заключаемого по результатам оспариваемой конкурентной процедуры.</w:t>
      </w:r>
    </w:p>
    <w:p>
      <w:pPr>
        <w:pStyle w:val="Style6"/>
        <w:keepNext w:val="0"/>
        <w:keepLines w:val="0"/>
        <w:widowControl w:val="0"/>
        <w:shd w:val="clear" w:color="auto" w:fill="auto"/>
        <w:bidi w:val="0"/>
        <w:spacing w:before="0" w:after="0"/>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о нарушении Заказчиком ч.6 ст.31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rStyle w:val="CharStyle7"/>
        </w:rPr>
        <w:t>Также в составе жалобы Заявитель указывает, что в составе извещения об осуществлении закупки Заказчиком неправомерно установлено требование о наличии у участника закупки действующей лицензии на осуществление деятельности по техническому обслуживанию медицинских изделий групп медицинской техники класса 2а потенциального риска применения: вспомогательные и общебольничные медицинские изделия.</w:t>
      </w:r>
    </w:p>
    <w:p>
      <w:pPr>
        <w:pStyle w:val="Style6"/>
        <w:keepNext w:val="0"/>
        <w:keepLines w:val="0"/>
        <w:widowControl w:val="0"/>
        <w:shd w:val="clear" w:color="auto" w:fill="auto"/>
        <w:bidi w:val="0"/>
        <w:spacing w:before="0" w:after="0"/>
        <w:ind w:left="0" w:right="0" w:firstLine="700"/>
        <w:jc w:val="both"/>
      </w:pPr>
      <w:r>
        <w:rPr>
          <w:rStyle w:val="CharStyle7"/>
        </w:rPr>
        <w:t>В обоснование своей позиции Заявитель указывает, что оборудование Заказчика, подлежащее обслуживанию, в частности «Система сбора и хранения радиоактивных отходов», «Шкаф вытяжной», «Бокс ламинарный», являются медицинскими изделиями, ввиду чего техническое обслуживание такого оборудования подлежит лицензированию.</w:t>
      </w:r>
    </w:p>
    <w:p>
      <w:pPr>
        <w:pStyle w:val="Style6"/>
        <w:keepNext w:val="0"/>
        <w:keepLines w:val="0"/>
        <w:widowControl w:val="0"/>
        <w:shd w:val="clear" w:color="auto" w:fill="auto"/>
        <w:bidi w:val="0"/>
        <w:spacing w:before="0" w:after="0" w:line="283" w:lineRule="auto"/>
        <w:ind w:left="0" w:right="0" w:firstLine="700"/>
        <w:jc w:val="both"/>
        <w:rPr>
          <w:sz w:val="24"/>
          <w:szCs w:val="24"/>
        </w:rPr>
      </w:pPr>
      <w:r>
        <w:rPr>
          <w:rStyle w:val="CharStyle7"/>
        </w:rPr>
        <w:t xml:space="preserve">В силу п.17 ч.1 ст.12 Федерального закона «О лицензировании отдельных видов деятельности» от </w:t>
      </w:r>
      <w:r>
        <w:rPr>
          <w:rStyle w:val="CharStyle7"/>
          <w:lang w:val="en-US" w:eastAsia="en-US"/>
        </w:rPr>
        <w:t xml:space="preserve">04.05.2011 </w:t>
      </w:r>
      <w:r>
        <w:rPr>
          <w:rStyle w:val="CharStyle7"/>
        </w:rPr>
        <w:t xml:space="preserve">№99-ФЗ (далее </w:t>
      </w:r>
      <w:r>
        <w:rPr>
          <w:rStyle w:val="CharStyle7"/>
          <w:lang w:val="en-US" w:eastAsia="en-US"/>
        </w:rPr>
        <w:t xml:space="preserve">- </w:t>
      </w:r>
      <w:r>
        <w:rPr>
          <w:rStyle w:val="CharStyle7"/>
        </w:rPr>
        <w:t xml:space="preserve">Закон о лицензировании) лицензированию подлежит такой вид деятельности как деятельность по </w:t>
      </w:r>
      <w:r>
        <w:rPr>
          <w:rStyle w:val="CharStyle7"/>
          <w:sz w:val="24"/>
          <w:szCs w:val="24"/>
          <w:lang w:val="en-US" w:eastAsia="en-US"/>
        </w:rPr>
        <w:t>2026-22934</w:t>
      </w:r>
    </w:p>
    <w:p>
      <w:pPr>
        <w:pStyle w:val="Style6"/>
        <w:keepNext w:val="0"/>
        <w:keepLines w:val="0"/>
        <w:widowControl w:val="0"/>
        <w:shd w:val="clear" w:color="auto" w:fill="auto"/>
        <w:bidi w:val="0"/>
        <w:spacing w:before="0" w:after="0"/>
        <w:ind w:left="0" w:right="0" w:firstLine="0"/>
        <w:jc w:val="both"/>
      </w:pPr>
      <w:r>
        <w:rPr>
          <w:rStyle w:val="CharStyle7"/>
        </w:rPr>
        <w:t>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pPr>
        <w:pStyle w:val="Style6"/>
        <w:keepNext w:val="0"/>
        <w:keepLines w:val="0"/>
        <w:widowControl w:val="0"/>
        <w:shd w:val="clear" w:color="auto" w:fill="auto"/>
        <w:bidi w:val="0"/>
        <w:spacing w:before="0" w:after="0"/>
        <w:ind w:left="0" w:right="0" w:firstLine="700"/>
        <w:jc w:val="both"/>
      </w:pPr>
      <w:r>
        <w:rPr>
          <w:rStyle w:val="CharStyle7"/>
        </w:rPr>
        <w:t xml:space="preserve">Абз.2 п.1 Постановления Правительства РФ от </w:t>
      </w:r>
      <w:r>
        <w:rPr>
          <w:rStyle w:val="CharStyle7"/>
          <w:lang w:val="en-US" w:eastAsia="en-US"/>
        </w:rPr>
        <w:t xml:space="preserve">30.11.2021 №2129 </w:t>
      </w:r>
      <w:r>
        <w:rPr>
          <w:rStyle w:val="CharStyle7"/>
        </w:rPr>
        <w:t xml:space="preserve">«Об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w:t>
      </w:r>
      <w:r>
        <w:rPr>
          <w:rStyle w:val="CharStyle7"/>
          <w:lang w:val="en-US" w:eastAsia="en-US"/>
        </w:rPr>
        <w:t xml:space="preserve">15 </w:t>
      </w:r>
      <w:r>
        <w:rPr>
          <w:rStyle w:val="CharStyle7"/>
        </w:rPr>
        <w:t xml:space="preserve">сентября </w:t>
      </w:r>
      <w:r>
        <w:rPr>
          <w:rStyle w:val="CharStyle7"/>
          <w:lang w:val="en-US" w:eastAsia="en-US"/>
        </w:rPr>
        <w:t xml:space="preserve">2020 </w:t>
      </w:r>
      <w:r>
        <w:rPr>
          <w:rStyle w:val="CharStyle7"/>
        </w:rPr>
        <w:t xml:space="preserve">г. </w:t>
      </w:r>
      <w:r>
        <w:rPr>
          <w:rStyle w:val="CharStyle7"/>
          <w:lang w:val="en-US" w:eastAsia="en-US"/>
        </w:rPr>
        <w:t xml:space="preserve">№1445 </w:t>
      </w:r>
      <w:r>
        <w:rPr>
          <w:rStyle w:val="CharStyle7"/>
        </w:rPr>
        <w:t xml:space="preserve">и признании утратившими силу отдельных актов Правительства Российской Федерации» утверждено Положение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(далее </w:t>
      </w:r>
      <w:r>
        <w:rPr>
          <w:rStyle w:val="CharStyle7"/>
          <w:lang w:val="en-US" w:eastAsia="en-US"/>
        </w:rPr>
        <w:t xml:space="preserve">— </w:t>
      </w:r>
      <w:r>
        <w:rPr>
          <w:rStyle w:val="CharStyle7"/>
        </w:rPr>
        <w:t>Положения о лицензировании деятельности по техническому обслуживанию).</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п.2 Положения о лицензировании деятельности по техническому обслуживанию перечень выполняемых работ, оказываемых услуг, составляющих лицензируемый вид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приведен в приложении </w:t>
      </w:r>
      <w:r>
        <w:rPr>
          <w:rStyle w:val="CharStyle7"/>
          <w:lang w:val="en-US" w:eastAsia="en-US"/>
        </w:rPr>
        <w:t xml:space="preserve">№1 </w:t>
      </w:r>
      <w:r>
        <w:rPr>
          <w:rStyle w:val="CharStyle7"/>
        </w:rPr>
        <w:t xml:space="preserve">«Перечень выполняемых работ, оказываемых услуг в составе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(далее </w:t>
      </w:r>
      <w:r>
        <w:rPr>
          <w:rStyle w:val="CharStyle7"/>
          <w:lang w:val="en-US" w:eastAsia="en-US"/>
        </w:rPr>
        <w:t xml:space="preserve">— </w:t>
      </w:r>
      <w:r>
        <w:rPr>
          <w:rStyle w:val="CharStyle7"/>
        </w:rPr>
        <w:t>Перечень работ по техническому обслуживанию медицинских изделий).</w:t>
      </w:r>
    </w:p>
    <w:p>
      <w:pPr>
        <w:pStyle w:val="Style6"/>
        <w:keepNext w:val="0"/>
        <w:keepLines w:val="0"/>
        <w:widowControl w:val="0"/>
        <w:shd w:val="clear" w:color="auto" w:fill="auto"/>
        <w:bidi w:val="0"/>
        <w:spacing w:before="0" w:after="0"/>
        <w:ind w:left="0" w:right="0" w:firstLine="700"/>
        <w:jc w:val="both"/>
      </w:pPr>
      <w:r>
        <w:rPr>
          <w:rStyle w:val="CharStyle7"/>
        </w:rPr>
        <w:t>На заседании Комиссии Управления представитель Заказчика пояснил, что оборудование, подлежащее обслуживанию в рамках контракта, заключаемого по результатам обжалуемой конкурентной процедуры, относится к инженерной системе и не является медицинским изделием.</w:t>
      </w:r>
    </w:p>
    <w:p>
      <w:pPr>
        <w:pStyle w:val="Style6"/>
        <w:keepNext w:val="0"/>
        <w:keepLines w:val="0"/>
        <w:widowControl w:val="0"/>
        <w:shd w:val="clear" w:color="auto" w:fill="auto"/>
        <w:bidi w:val="0"/>
        <w:spacing w:before="0" w:after="0" w:line="262" w:lineRule="auto"/>
        <w:ind w:left="0" w:right="0" w:firstLine="700"/>
        <w:jc w:val="both"/>
        <w:rPr>
          <w:sz w:val="24"/>
          <w:szCs w:val="24"/>
        </w:rPr>
      </w:pPr>
      <w:r>
        <w:rPr>
          <w:rStyle w:val="CharStyle7"/>
        </w:rPr>
        <w:t xml:space="preserve">В силу ч.4 ст.38 Федерального закона «Об основах охраны здоровья граждан в Российской Федерации» от </w:t>
      </w:r>
      <w:r>
        <w:rPr>
          <w:rStyle w:val="CharStyle7"/>
          <w:lang w:val="en-US" w:eastAsia="en-US"/>
        </w:rPr>
        <w:t xml:space="preserve">21.11.2011 </w:t>
      </w:r>
      <w:r>
        <w:rPr>
          <w:rStyle w:val="CharStyle7"/>
        </w:rPr>
        <w:t xml:space="preserve">№323-ФЗ (далее </w:t>
      </w:r>
      <w:r>
        <w:rPr>
          <w:rStyle w:val="CharStyle7"/>
          <w:lang w:val="en-US" w:eastAsia="en-US"/>
        </w:rPr>
        <w:t xml:space="preserve">— </w:t>
      </w:r>
      <w:r>
        <w:rPr>
          <w:rStyle w:val="CharStyle7"/>
        </w:rPr>
        <w:t xml:space="preserve">Закон об основах охраны здоровья граждан), на территории Российской Федерации разрешается обращение медицинских изделий, зарегистрированных в порядке, </w:t>
      </w:r>
      <w:r>
        <w:rPr>
          <w:rStyle w:val="CharStyle7"/>
          <w:sz w:val="24"/>
          <w:szCs w:val="24"/>
          <w:lang w:val="en-US" w:eastAsia="en-US"/>
        </w:rPr>
        <w:t>2026-22934</w:t>
      </w:r>
    </w:p>
    <w:p>
      <w:pPr>
        <w:pStyle w:val="Style6"/>
        <w:keepNext w:val="0"/>
        <w:keepLines w:val="0"/>
        <w:widowControl w:val="0"/>
        <w:shd w:val="clear" w:color="auto" w:fill="auto"/>
        <w:bidi w:val="0"/>
        <w:spacing w:before="0" w:after="0"/>
        <w:ind w:left="0" w:right="0" w:firstLine="0"/>
        <w:jc w:val="both"/>
      </w:pPr>
      <w:r>
        <w:rPr>
          <w:rStyle w:val="CharStyle7"/>
        </w:rPr>
        <w:t>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ind w:left="0" w:right="0" w:firstLine="700"/>
        <w:jc w:val="both"/>
      </w:pPr>
      <w:r>
        <w:rPr>
          <w:rStyle w:val="CharStyle7"/>
        </w:rPr>
        <w:t xml:space="preserve">П.1 Постановления Правительства РФ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№1684) </w:t>
      </w:r>
      <w:r>
        <w:rPr>
          <w:rStyle w:val="CharStyle7"/>
        </w:rPr>
        <w:t xml:space="preserve">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реестровая запись).</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ind w:left="0" w:right="0" w:firstLine="700"/>
        <w:jc w:val="both"/>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line="324" w:lineRule="auto"/>
        <w:ind w:left="0" w:right="0" w:firstLine="700"/>
        <w:jc w:val="both"/>
        <w:rPr>
          <w:sz w:val="24"/>
          <w:szCs w:val="24"/>
        </w:rPr>
        <w:sectPr>
          <w:headerReference w:type="default" r:id="rId9"/>
          <w:footerReference w:type="default" r:id="rId10"/>
          <w:footnotePr>
            <w:pos w:val="pageBottom"/>
            <w:numFmt w:val="decimal"/>
            <w:numRestart w:val="continuous"/>
          </w:footnotePr>
          <w:pgSz w:w="11900" w:h="16840"/>
          <w:pgMar w:top="1162" w:right="536" w:bottom="620" w:left="1087" w:header="0" w:footer="192" w:gutter="0"/>
          <w:cols w:space="720"/>
          <w:noEndnote/>
          <w:rtlGutter w:val="0"/>
          <w:docGrid w:linePitch="360"/>
        </w:sectPr>
      </w:pPr>
      <w:r>
        <w:rPr>
          <w:rStyle w:val="CharStyle7"/>
        </w:rPr>
        <w:t xml:space="preserve">Постановлением Правительства Российской Федерации от </w:t>
      </w:r>
      <w:r>
        <w:rPr>
          <w:rStyle w:val="CharStyle7"/>
          <w:lang w:val="en-US" w:eastAsia="en-US"/>
        </w:rPr>
        <w:t xml:space="preserve">27.12.2012 № </w:t>
      </w:r>
      <w:r>
        <w:rPr>
          <w:rStyle w:val="CharStyle7"/>
          <w:sz w:val="24"/>
          <w:szCs w:val="24"/>
          <w:lang w:val="en-US" w:eastAsia="en-US"/>
        </w:rPr>
        <w:t>2026-22934</w:t>
      </w:r>
    </w:p>
    <w:p>
      <w:pPr>
        <w:pStyle w:val="Style6"/>
        <w:keepNext w:val="0"/>
        <w:keepLines w:val="0"/>
        <w:widowControl w:val="0"/>
        <w:shd w:val="clear" w:color="auto" w:fill="auto"/>
        <w:bidi w:val="0"/>
        <w:spacing w:before="0" w:after="0"/>
        <w:ind w:left="0" w:right="0" w:firstLine="0"/>
        <w:jc w:val="both"/>
      </w:pPr>
      <w:r>
        <w:rPr>
          <w:rStyle w:val="CharStyle7"/>
          <w:lang w:val="en-US" w:eastAsia="en-US"/>
        </w:rPr>
        <w:t xml:space="preserve">1416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 xml:space="preserve">Правила от </w:t>
      </w:r>
      <w:r>
        <w:rPr>
          <w:rStyle w:val="CharStyle7"/>
          <w:lang w:val="en-US" w:eastAsia="en-US"/>
        </w:rPr>
        <w:t xml:space="preserve">27.12.2012), </w:t>
      </w:r>
      <w:r>
        <w:rPr>
          <w:rStyle w:val="CharStyle7"/>
        </w:rPr>
        <w:t xml:space="preserve">действующие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ind w:left="0" w:right="0" w:firstLine="70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ind w:left="0" w:right="0" w:firstLine="700"/>
        <w:jc w:val="both"/>
      </w:pPr>
      <w:r>
        <w:rPr>
          <w:rStyle w:val="CharStyle7"/>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7"/>
          <w:lang w:val="en-US" w:eastAsia="en-US"/>
        </w:rPr>
        <w:t xml:space="preserve">№1684, </w:t>
      </w:r>
      <w:r>
        <w:rPr>
          <w:rStyle w:val="CharStyle7"/>
        </w:rPr>
        <w:t xml:space="preserve">в соответствии с Правилами от </w:t>
      </w:r>
      <w:r>
        <w:rPr>
          <w:rStyle w:val="CharStyle7"/>
          <w:lang w:val="en-US" w:eastAsia="en-US"/>
        </w:rPr>
        <w:t>27.12.2012.</w:t>
      </w:r>
    </w:p>
    <w:p>
      <w:pPr>
        <w:pStyle w:val="Style6"/>
        <w:keepNext w:val="0"/>
        <w:keepLines w:val="0"/>
        <w:widowControl w:val="0"/>
        <w:shd w:val="clear" w:color="auto" w:fill="auto"/>
        <w:bidi w:val="0"/>
        <w:spacing w:before="0" w:after="0"/>
        <w:ind w:left="0" w:right="0" w:firstLine="70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представителем Заявителя, а также в составе жалобы Заявителем, не представлено сведений о конкретных регистрационных удостоверениях на медицинские изделия, в соответствии с которыми оборудование Заказчика подлежит обращению как медицинское изделие, ввиду чего Комиссии Управления не представляется возможным прийти к выводу, что данное оборудование относится к медицинским изделиям.</w:t>
      </w:r>
    </w:p>
    <w:p>
      <w:pPr>
        <w:pStyle w:val="Style6"/>
        <w:keepNext w:val="0"/>
        <w:keepLines w:val="0"/>
        <w:widowControl w:val="0"/>
        <w:shd w:val="clear" w:color="auto" w:fill="auto"/>
        <w:bidi w:val="0"/>
        <w:spacing w:before="0" w:after="0"/>
        <w:ind w:left="0" w:right="0" w:firstLine="700"/>
        <w:jc w:val="both"/>
      </w:pPr>
      <w:r>
        <w:rPr>
          <w:rStyle w:val="CharStyle7"/>
        </w:rPr>
        <w:t>Таким образом,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ind w:left="0" w:right="0" w:firstLine="700"/>
        <w:jc w:val="both"/>
        <w:sectPr>
          <w:headerReference w:type="default" r:id="rId11"/>
          <w:footerReference w:type="default" r:id="rId12"/>
          <w:footnotePr>
            <w:pos w:val="pageBottom"/>
            <w:numFmt w:val="decimal"/>
            <w:numRestart w:val="continuous"/>
          </w:footnotePr>
          <w:pgSz w:w="11900" w:h="16840"/>
          <w:pgMar w:top="1162" w:right="550" w:bottom="1162"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 Е Ш И Л А:</w:t>
      </w:r>
    </w:p>
    <w:p>
      <w:pPr>
        <w:pStyle w:val="Style6"/>
        <w:keepNext w:val="0"/>
        <w:keepLines w:val="0"/>
        <w:widowControl w:val="0"/>
        <w:numPr>
          <w:ilvl w:val="0"/>
          <w:numId w:val="3"/>
        </w:numPr>
        <w:shd w:val="clear" w:color="auto" w:fill="auto"/>
        <w:tabs>
          <w:tab w:pos="1045" w:val="left"/>
        </w:tabs>
        <w:bidi w:val="0"/>
        <w:spacing w:before="0" w:after="0" w:line="240" w:lineRule="auto"/>
        <w:ind w:left="0" w:right="0" w:firstLine="720"/>
        <w:jc w:val="both"/>
      </w:pPr>
      <w:r>
        <w:rPr>
          <w:rStyle w:val="CharStyle7"/>
          <w:lang w:val="en-US" w:eastAsia="en-US"/>
        </w:rPr>
        <w:t xml:space="preserve">. </w:t>
      </w:r>
      <w:r>
        <w:rPr>
          <w:rStyle w:val="CharStyle7"/>
        </w:rPr>
        <w:t>Признать жалобу ООО «Анри» на действия ФГБУ «НМИЦ Эндокринологии им. академика И.И. Дедова» Минздрава России обоснованной в части установления в извещении неправомерных требований к участникам закупки.</w:t>
      </w:r>
    </w:p>
    <w:p>
      <w:pPr>
        <w:pStyle w:val="Style6"/>
        <w:keepNext w:val="0"/>
        <w:keepLines w:val="0"/>
        <w:widowControl w:val="0"/>
        <w:numPr>
          <w:ilvl w:val="0"/>
          <w:numId w:val="3"/>
        </w:numPr>
        <w:shd w:val="clear" w:color="auto" w:fill="auto"/>
        <w:tabs>
          <w:tab w:pos="1418" w:val="left"/>
        </w:tabs>
        <w:bidi w:val="0"/>
        <w:spacing w:before="0" w:after="0" w:line="240" w:lineRule="auto"/>
        <w:ind w:left="0" w:right="0" w:firstLine="720"/>
        <w:jc w:val="both"/>
      </w:pPr>
      <w:r>
        <w:rPr>
          <w:rStyle w:val="CharStyle7"/>
        </w:rPr>
        <w:t>Признать в действиях Заказчика нарушение ч.6 ст.31 Закона о контрактной системе.</w:t>
      </w:r>
    </w:p>
    <w:p>
      <w:pPr>
        <w:pStyle w:val="Style6"/>
        <w:keepNext w:val="0"/>
        <w:keepLines w:val="0"/>
        <w:widowControl w:val="0"/>
        <w:numPr>
          <w:ilvl w:val="0"/>
          <w:numId w:val="3"/>
        </w:numPr>
        <w:shd w:val="clear" w:color="auto" w:fill="auto"/>
        <w:tabs>
          <w:tab w:pos="1418" w:val="left"/>
        </w:tabs>
        <w:bidi w:val="0"/>
        <w:spacing w:before="0" w:after="0" w:line="240" w:lineRule="auto"/>
        <w:ind w:left="0" w:right="0" w:firstLine="72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
        </w:numPr>
        <w:shd w:val="clear" w:color="auto" w:fill="auto"/>
        <w:tabs>
          <w:tab w:pos="1418" w:val="left"/>
        </w:tabs>
        <w:bidi w:val="0"/>
        <w:spacing w:before="0" w:after="220" w:line="240"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580" w:left="1106" w:header="0" w:footer="3" w:gutter="0"/>
          <w:cols w:space="720"/>
          <w:noEndnote/>
          <w:rtlGutter w:val="0"/>
          <w:docGrid w:linePitch="360"/>
        </w:sectPr>
      </w:pPr>
      <w:r>
        <mc:AlternateContent>
          <mc:Choice Requires="wps">
            <w:drawing>
              <wp:anchor distT="127000" distB="341630" distL="0" distR="0" simplePos="0" relativeHeight="125829378" behindDoc="0" locked="0" layoutInCell="1" allowOverlap="1">
                <wp:simplePos x="0" y="0"/>
                <wp:positionH relativeFrom="page">
                  <wp:posOffset>739140</wp:posOffset>
                </wp:positionH>
                <wp:positionV relativeFrom="paragraph">
                  <wp:posOffset>127000</wp:posOffset>
                </wp:positionV>
                <wp:extent cx="1896110" cy="252730"/>
                <wp:wrapTopAndBottom/>
                <wp:docPr id="12" name="Shape 12"/>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8.200000000000003pt;margin-top:10.pt;width:149.30000000000001pt;height:19.900000000000002pt;z-index:-125829375;mso-wrap-distance-left:0;mso-wrap-distance-top:10.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3107690</wp:posOffset>
            </wp:positionH>
            <wp:positionV relativeFrom="paragraph">
              <wp:posOffset>200025</wp:posOffset>
            </wp:positionV>
            <wp:extent cx="359410" cy="52451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605155</wp:posOffset>
                </wp:positionV>
                <wp:extent cx="1283335" cy="100330"/>
                <wp:wrapNone/>
                <wp:docPr id="16" name="Shape 1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80.94999999999999pt;margin-top:47.649999999999999pt;width:101.05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3525520</wp:posOffset>
                </wp:positionH>
                <wp:positionV relativeFrom="paragraph">
                  <wp:posOffset>288290</wp:posOffset>
                </wp:positionV>
                <wp:extent cx="1725295" cy="259080"/>
                <wp:wrapNone/>
                <wp:docPr id="18" name="Shape 18"/>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60000000000002pt;margin-top:22.699999999999999pt;width:135.84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1630" distL="0" distR="0" simplePos="0" relativeHeight="125829381" behindDoc="0" locked="0" layoutInCell="1" allowOverlap="1">
                <wp:simplePos x="0" y="0"/>
                <wp:positionH relativeFrom="page">
                  <wp:posOffset>6082030</wp:posOffset>
                </wp:positionH>
                <wp:positionV relativeFrom="paragraph">
                  <wp:posOffset>127000</wp:posOffset>
                </wp:positionV>
                <wp:extent cx="1136650" cy="252730"/>
                <wp:wrapTopAndBottom/>
                <wp:docPr id="20" name="Shape 20"/>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46" type="#_x0000_t202" style="position:absolute;margin-left:478.90000000000003pt;margin-top:10.pt;width:89.5pt;height:19.900000000000002pt;z-index:-125829372;mso-wrap-distance-left:0;mso-wrap-distance-top:10.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color w:val="292929"/>
        </w:rPr>
        <w:t xml:space="preserve">Сертификат № </w:t>
      </w:r>
      <w:r>
        <w:rPr>
          <w:rStyle w:val="CharStyle25"/>
          <w:color w:val="5D5D5D"/>
        </w:rPr>
        <w:t>00831</w:t>
      </w:r>
      <w:r>
        <w:rPr>
          <w:rStyle w:val="CharStyle25"/>
          <w:lang w:val="en-US" w:eastAsia="en-US"/>
        </w:rPr>
        <w:t>B7545C61281C4BAB156778A683BFB</w:t>
      </w:r>
    </w:p>
    <w:p>
      <w:pPr>
        <w:pStyle w:val="Style24"/>
        <w:keepNext w:val="0"/>
        <w:keepLines w:val="0"/>
        <w:widowControl w:val="0"/>
        <w:shd w:val="clear" w:color="auto" w:fill="auto"/>
        <w:bidi w:val="0"/>
        <w:spacing w:before="0" w:after="560" w:line="240" w:lineRule="auto"/>
        <w:ind w:right="0" w:firstLine="0"/>
        <w:jc w:val="left"/>
      </w:pPr>
      <w:r>
        <w:rPr>
          <w:rStyle w:val="CharStyle25"/>
        </w:rPr>
        <w:t xml:space="preserve">Действителен с </w:t>
      </w:r>
      <w:r>
        <w:rPr>
          <w:rStyle w:val="CharStyle25"/>
          <w:color w:val="292929"/>
        </w:rPr>
        <w:t xml:space="preserve">17.07.2025 </w:t>
      </w:r>
      <w:r>
        <w:rPr>
          <w:rStyle w:val="CharStyle25"/>
          <w:color w:val="5D5D5D"/>
        </w:rPr>
        <w:t xml:space="preserve">по </w:t>
      </w:r>
      <w:r>
        <w:rPr>
          <w:rStyle w:val="CharStyle25"/>
        </w:rPr>
        <w:t>10.10.2026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90" w:line="240" w:lineRule="auto"/>
        <w:ind w:left="0" w:right="0" w:firstLine="820"/>
        <w:jc w:val="left"/>
      </w:pPr>
      <w:r>
        <w:drawing>
          <wp:anchor distT="0" distB="0" distL="114300" distR="1900555" simplePos="0" relativeHeight="125829383" behindDoc="0" locked="0" layoutInCell="1" allowOverlap="1">
            <wp:simplePos x="0" y="0"/>
            <wp:positionH relativeFrom="page">
              <wp:posOffset>3107055</wp:posOffset>
            </wp:positionH>
            <wp:positionV relativeFrom="paragraph">
              <wp:posOffset>63500</wp:posOffset>
            </wp:positionV>
            <wp:extent cx="359410" cy="39624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148590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75pt;margin-top:11.700000000000001pt;width:135.59999999999999pt;height:20.4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25"/>
          <w:color w:val="FFFFFF"/>
          <w:sz w:val="11"/>
          <w:szCs w:val="11"/>
        </w:rPr>
        <w:t>СВЕДЕНИЯ О СЕРТИФИКАТЕ ЭП</w:t>
      </w:r>
    </w:p>
    <w:p>
      <w:pPr>
        <w:pStyle w:val="Style24"/>
        <w:keepNext w:val="0"/>
        <w:keepLines w:val="0"/>
        <w:widowControl w:val="0"/>
        <w:shd w:val="clear" w:color="auto" w:fill="auto"/>
        <w:bidi w:val="0"/>
        <w:spacing w:before="0" w:after="0"/>
        <w:ind w:right="0" w:firstLine="0"/>
        <w:jc w:val="left"/>
      </w:pPr>
      <w:r>
        <w:rPr>
          <w:rStyle w:val="CharStyle25"/>
        </w:rPr>
        <w:t xml:space="preserve">Кому выдан: </w:t>
      </w:r>
      <w:r>
        <w:rPr>
          <w:rStyle w:val="CharStyle25"/>
          <w:color w:val="000000"/>
          <w:sz w:val="11"/>
          <w:szCs w:val="11"/>
        </w:rPr>
        <w:t xml:space="preserve">Матюшенко Александр Александрович </w:t>
      </w:r>
      <w:r>
        <w:rPr>
          <w:rStyle w:val="CharStyle25"/>
        </w:rPr>
        <w:t xml:space="preserve">Сертификат </w:t>
      </w:r>
      <w:r>
        <w:rPr>
          <w:rStyle w:val="CharStyle25"/>
          <w:color w:val="292929"/>
        </w:rPr>
        <w:t xml:space="preserve">№ </w:t>
      </w:r>
      <w:r>
        <w:rPr>
          <w:rStyle w:val="CharStyle25"/>
          <w:lang w:val="en-US" w:eastAsia="en-US"/>
        </w:rPr>
        <w:t>4F595A5C3E5ABB2DD77161F08559FC07</w:t>
      </w:r>
    </w:p>
    <w:p>
      <w:pPr>
        <w:pStyle w:val="Style24"/>
        <w:keepNext w:val="0"/>
        <w:keepLines w:val="0"/>
        <w:widowControl w:val="0"/>
        <w:shd w:val="clear" w:color="auto" w:fill="auto"/>
        <w:bidi w:val="0"/>
        <w:spacing w:before="0" w:after="560"/>
        <w:ind w:right="0" w:firstLine="0"/>
        <w:jc w:val="left"/>
      </w:pPr>
      <w:r>
        <w:rPr>
          <w:rStyle w:val="CharStyle25"/>
        </w:rPr>
        <w:t>Действителен с 22.07.2025 по 15.10.2026</w:t>
      </w:r>
    </w:p>
    <w:p>
      <w:pPr>
        <w:pStyle w:val="Style6"/>
        <w:keepNext w:val="0"/>
        <w:keepLines w:val="0"/>
        <w:widowControl w:val="0"/>
        <w:shd w:val="clear" w:color="auto" w:fill="auto"/>
        <w:bidi w:val="0"/>
        <w:spacing w:before="0" w:after="390" w:line="240" w:lineRule="auto"/>
        <w:ind w:left="0" w:right="0" w:firstLine="820"/>
        <w:jc w:val="left"/>
      </w:pPr>
      <w:r>
        <w:drawing>
          <wp:anchor distT="0" distB="0" distL="114300" distR="1900555" simplePos="0" relativeHeight="125829384" behindDoc="0" locked="0" layoutInCell="1" allowOverlap="1">
            <wp:simplePos x="0" y="0"/>
            <wp:positionH relativeFrom="page">
              <wp:posOffset>3107055</wp:posOffset>
            </wp:positionH>
            <wp:positionV relativeFrom="paragraph">
              <wp:posOffset>63500</wp:posOffset>
            </wp:positionV>
            <wp:extent cx="359410" cy="39624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148590</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7.75pt;margin-top:11.70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25"/>
          <w:color w:val="FFFFFF"/>
          <w:sz w:val="11"/>
          <w:szCs w:val="11"/>
        </w:rPr>
        <w:t>СВЕДЕНИЯ О СЕРТИФИКАТЕ ЭП</w:t>
      </w:r>
    </w:p>
    <w:p>
      <w:pPr>
        <w:pStyle w:val="Style24"/>
        <w:keepNext w:val="0"/>
        <w:keepLines w:val="0"/>
        <w:widowControl w:val="0"/>
        <w:shd w:val="clear" w:color="auto" w:fill="auto"/>
        <w:bidi w:val="0"/>
        <w:spacing w:before="0" w:after="0"/>
        <w:ind w:right="0" w:firstLine="0"/>
        <w:jc w:val="left"/>
      </w:pPr>
      <w:r>
        <w:rPr>
          <w:rStyle w:val="CharStyle25"/>
        </w:rPr>
        <w:t xml:space="preserve">Кому выдан: </w:t>
      </w:r>
      <w:r>
        <w:rPr>
          <w:rStyle w:val="CharStyle25"/>
          <w:color w:val="000000"/>
          <w:sz w:val="11"/>
          <w:szCs w:val="11"/>
        </w:rPr>
        <w:t>ПЕРЕВЕРЗЕВА ЕЛИЗАВЕТА СЕРГЕЕВНА</w:t>
      </w:r>
      <w:r>
        <w:rPr>
          <w:rStyle w:val="CharStyle25"/>
          <w:color w:val="000000"/>
          <w:sz w:val="11"/>
          <w:szCs w:val="11"/>
        </w:rPr>
        <w:t xml:space="preserve"> </w:t>
      </w:r>
      <w:r>
        <w:rPr>
          <w:rStyle w:val="CharStyle25"/>
        </w:rPr>
        <w:t xml:space="preserve">Сертификат </w:t>
      </w:r>
      <w:r>
        <w:rPr>
          <w:rStyle w:val="CharStyle25"/>
          <w:color w:val="292929"/>
        </w:rPr>
        <w:t xml:space="preserve">№ </w:t>
      </w:r>
      <w:r>
        <w:rPr>
          <w:rStyle w:val="CharStyle25"/>
          <w:lang w:val="en-US" w:eastAsia="en-US"/>
        </w:rPr>
        <w:t>00FFF3ACD3A01A73F4C680C3941</w:t>
      </w:r>
      <w:r>
        <w:rPr>
          <w:rStyle w:val="CharStyle25"/>
        </w:rPr>
        <w:t>ЕЗСА026</w:t>
      </w:r>
    </w:p>
    <w:p>
      <w:pPr>
        <w:pStyle w:val="Style24"/>
        <w:keepNext w:val="0"/>
        <w:keepLines w:val="0"/>
        <w:widowControl w:val="0"/>
        <w:shd w:val="clear" w:color="auto" w:fill="auto"/>
        <w:bidi w:val="0"/>
        <w:spacing w:before="0" w:after="1880"/>
        <w:ind w:right="0" w:firstLine="0"/>
        <w:jc w:val="left"/>
      </w:pPr>
      <w:r>
        <w:rPr>
          <w:rStyle w:val="CharStyle25"/>
        </w:rPr>
        <w:t xml:space="preserve">Действителен с 11.12.2025 </w:t>
      </w:r>
      <w:r>
        <w:rPr>
          <w:rStyle w:val="CharStyle25"/>
          <w:color w:val="5D5D5D"/>
        </w:rPr>
        <w:t xml:space="preserve">по </w:t>
      </w:r>
      <w:r>
        <w:rPr>
          <w:rStyle w:val="CharStyle25"/>
        </w:rPr>
        <w:t>06.03.2027</w:t>
      </w:r>
    </w:p>
    <w:p>
      <w:pPr>
        <w:pStyle w:val="Style13"/>
        <w:keepNext w:val="0"/>
        <w:keepLines w:val="0"/>
        <w:widowControl w:val="0"/>
        <w:shd w:val="clear" w:color="auto" w:fill="auto"/>
        <w:bidi w:val="0"/>
        <w:spacing w:before="0" w:after="100" w:line="240" w:lineRule="auto"/>
        <w:ind w:left="0" w:right="0" w:firstLine="0"/>
        <w:jc w:val="left"/>
      </w:pPr>
      <w:r>
        <w:rPr>
          <w:rStyle w:val="CharStyle14"/>
        </w:rPr>
        <w:t>Исп. Матюшенко А.А., 8(495)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8345" cy="103505"/>
              <wp:wrapNone/>
              <wp:docPr id="4" name="Shape 4"/>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2026-22934</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7.35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2026-22934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726440</wp:posOffset>
              </wp:positionH>
              <wp:positionV relativeFrom="page">
                <wp:posOffset>10092690</wp:posOffset>
              </wp:positionV>
              <wp:extent cx="728345" cy="103505"/>
              <wp:wrapNone/>
              <wp:docPr id="10" name="Shape 10"/>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2026-22934</w:t>
                          </w:r>
                        </w:p>
                      </w:txbxContent>
                    </wps:txbx>
                    <wps:bodyPr wrap="none" lIns="0" tIns="0" rIns="0" bIns="0">
                      <a:spAutoFit/>
                    </wps:bodyPr>
                  </wps:wsp>
                </a:graphicData>
              </a:graphic>
            </wp:anchor>
          </w:drawing>
        </mc:Choice>
        <mc:Fallback>
          <w:pict>
            <v:shape id="_x0000_s1036" type="#_x0000_t202" style="position:absolute;margin-left:57.200000000000003pt;margin-top:794.70000000000005pt;width:57.350000000000001pt;height:8.1500000000000004pt;z-index:-188744055;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2026-22934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473075</wp:posOffset>
              </wp:positionV>
              <wp:extent cx="73025" cy="121920"/>
              <wp:wrapNone/>
              <wp:docPr id="2" name="Shape 2"/>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37.25pt;width:5.75pt;height:9.5999999999999996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76200" cy="103505"/>
              <wp:wrapNone/>
              <wp:docPr id="6" name="Shape 6"/>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2" type="#_x0000_t202" style="position:absolute;margin-left:309.44999999999999pt;margin-top:37.5pt;width:6.pt;height:8.15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3926840</wp:posOffset>
              </wp:positionH>
              <wp:positionV relativeFrom="page">
                <wp:posOffset>473075</wp:posOffset>
              </wp:positionV>
              <wp:extent cx="73025" cy="121920"/>
              <wp:wrapNone/>
              <wp:docPr id="8" name="Shape 8"/>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4" type="#_x0000_t202" style="position:absolute;margin-left:309.19999999999999pt;margin-top:37.25pt;width:5.75pt;height:9.5999999999999996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ing #1_"/>
    <w:basedOn w:val="DefaultParagraphFont"/>
    <w:link w:val="Style8"/>
    <w:rPr>
      <w:rFonts w:ascii="Times New Roman" w:eastAsia="Times New Roman" w:hAnsi="Times New Roman" w:cs="Times New Roman"/>
      <w:b/>
      <w:bCs/>
      <w:i w:val="0"/>
      <w:iCs w:val="0"/>
      <w:smallCaps w:val="0"/>
      <w:strike w:val="0"/>
      <w:sz w:val="28"/>
      <w:szCs w:val="28"/>
      <w:u w:val="none"/>
    </w:rPr>
  </w:style>
  <w:style w:type="character" w:customStyle="1" w:styleId="CharStyle12">
    <w:name w:val="Body text (5)_"/>
    <w:basedOn w:val="DefaultParagraphFont"/>
    <w:link w:val="Style11"/>
    <w:rPr>
      <w:rFonts w:ascii="Arial" w:eastAsia="Arial" w:hAnsi="Arial" w:cs="Arial"/>
      <w:b w:val="0"/>
      <w:bCs w:val="0"/>
      <w:i w:val="0"/>
      <w:iCs w:val="0"/>
      <w:smallCaps w:val="0"/>
      <w:strike w:val="0"/>
      <w:sz w:val="36"/>
      <w:szCs w:val="36"/>
      <w:u w:val="none"/>
      <w:lang w:val="en-US" w:eastAsia="en-US"/>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34343"/>
      <w:sz w:val="12"/>
      <w:szCs w:val="12"/>
      <w:u w:val="none"/>
    </w:rPr>
  </w:style>
  <w:style w:type="paragraph" w:customStyle="1" w:styleId="Style2">
    <w:name w:val="Body text (3)"/>
    <w:basedOn w:val="Normal"/>
    <w:link w:val="CharStyle3"/>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ing #1"/>
    <w:basedOn w:val="Normal"/>
    <w:link w:val="CharStyle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1">
    <w:name w:val="Body text (5)"/>
    <w:basedOn w:val="Normal"/>
    <w:link w:val="CharStyle12"/>
    <w:pPr>
      <w:widowControl w:val="0"/>
      <w:shd w:val="clear" w:color="auto" w:fill="auto"/>
      <w:ind w:firstLine="360"/>
    </w:pPr>
    <w:rPr>
      <w:rFonts w:ascii="Arial" w:eastAsia="Arial" w:hAnsi="Arial" w:cs="Arial"/>
      <w:b w:val="0"/>
      <w:bCs w:val="0"/>
      <w:i w:val="0"/>
      <w:iCs w:val="0"/>
      <w:smallCaps w:val="0"/>
      <w:strike w:val="0"/>
      <w:sz w:val="36"/>
      <w:szCs w:val="36"/>
      <w:u w:val="none"/>
      <w:lang w:val="en-US" w:eastAsia="en-US"/>
    </w:rPr>
  </w:style>
  <w:style w:type="paragraph" w:customStyle="1" w:styleId="Style13">
    <w:name w:val="Body text (4)"/>
    <w:basedOn w:val="Normal"/>
    <w:link w:val="CharStyle14"/>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2)"/>
    <w:basedOn w:val="Normal"/>
    <w:link w:val="CharStyle25"/>
    <w:pPr>
      <w:widowControl w:val="0"/>
      <w:shd w:val="clear" w:color="auto" w:fill="auto"/>
      <w:spacing w:after="50" w:line="266" w:lineRule="auto"/>
      <w:ind w:left="382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