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69035" distR="1129030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5255" simplePos="0" relativeHeight="125829379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728980</wp:posOffset>
                </wp:positionV>
                <wp:extent cx="2581910" cy="1755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"mailto:to24@fas.gov.ru"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to24@fas.gov.ru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00000000000004pt;margin-top:57.399999999999999pt;width:203.30000000000001pt;height:138.25pt;z-index:-125829374;mso-wrap-distance-left:9.pt;mso-wrap-distance-top:56.399999999999999pt;mso-wrap-distance-right:10.65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"mailto:to24@fas.gov.ru"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to24@fas.gov.ru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4195" distB="0" distL="120650" distR="114300" simplePos="0" relativeHeight="125829381" behindDoc="0" locked="0" layoutInCell="1" allowOverlap="1">
            <wp:simplePos x="0" y="0"/>
            <wp:positionH relativeFrom="page">
              <wp:posOffset>727710</wp:posOffset>
            </wp:positionH>
            <wp:positionV relativeFrom="paragraph">
              <wp:posOffset>3096895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2661285</wp:posOffset>
                </wp:positionV>
                <wp:extent cx="2581910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00000000000004pt;margin-top:209.55000000000001pt;width:203.30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10"/>
        </w:rPr>
        <w:t>ООО «Евро инвест»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10"/>
        </w:rPr>
        <w:t>пр-кт Кондратьевский, д. 72, литера А, помещ. 11ЛК, г. Санкт-Петерабург, 195272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fldChar w:fldCharType="begin"/>
      </w:r>
      <w:r>
        <w:rPr/>
        <w:instrText> HYPERLINK "mailto:ooo.0euroinvest@gmail.com" </w:instrText>
      </w:r>
      <w:r>
        <w:fldChar w:fldCharType="separate"/>
      </w:r>
      <w:r>
        <w:rPr>
          <w:rStyle w:val="CharStyle10"/>
          <w:lang w:val="en-US" w:eastAsia="en-US"/>
        </w:rPr>
        <w:t>ooo.0euroinvest@gmail.com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10"/>
        </w:rPr>
        <w:t>КГКУ «Управление автомобильных дорог по Красноярскому краю»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rStyle w:val="CharStyle10"/>
        </w:rPr>
        <w:t xml:space="preserve">ул. Робеспьера, 7, г. Красноярск, 660021 </w:t>
      </w:r>
      <w:r>
        <w:fldChar w:fldCharType="begin"/>
      </w:r>
      <w:r>
        <w:rPr/>
        <w:instrText> HYPERLINK "mailto:info@krudor.ru" </w:instrText>
      </w:r>
      <w:r>
        <w:fldChar w:fldCharType="separate"/>
      </w:r>
      <w:r>
        <w:rPr>
          <w:rStyle w:val="CharStyle10"/>
          <w:lang w:val="en-US" w:eastAsia="en-US"/>
        </w:rPr>
        <w:t>info@krudor.ru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10"/>
        </w:rPr>
        <w:t>Агентство государственного заказа Красноярского края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rStyle w:val="CharStyle10"/>
        </w:rPr>
        <w:t xml:space="preserve">пр-кт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0"/>
          <w:lang w:val="en-US" w:eastAsia="en-US"/>
        </w:rPr>
        <w:t>agz_priem@mail.ru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rStyle w:val="CharStyle10"/>
        </w:rPr>
        <w:t xml:space="preserve">ЭТП ТЭК-Торг ул. Тимура Фрунзе, д. 24, г. Москва, 119034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10"/>
          <w:lang w:val="en-US" w:eastAsia="en-US"/>
        </w:rPr>
        <w:t>help@tektorg.ru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Решение № 024/06/105-1433/2026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6280785</wp:posOffset>
                </wp:positionH>
                <wp:positionV relativeFrom="paragraph">
                  <wp:posOffset>12700</wp:posOffset>
                </wp:positionV>
                <wp:extent cx="90805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4.55000000000001pt;margin-top:1.pt;width:71.5pt;height:17.3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7 мая 2026 года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Комиссия Красноярского УФАС России по рассмотрению жалоб и проведению внеплановых проверок в составе: Председатель Комиссии – Хорышев Е.О., врио заместителя руководителя; члены Комиссии: Миракян Н.Е., ведущий специалист-эксперт; Пелевина Д.Н., ведущий специалист-эксперт (далее – Комиссия), рассмотрев жалобу ООО «Региональные системы контроля» (далее – Податель жалобы) на действия заказчика – КГКУ «Управление автомобильных дорог по Красноярскому краю» (далее – Заказчик), уполномоченного органа — Агентства государственного заказа Красноярского края (далее — Уполномоченный орган) при проведении открытого конкурса в электронной форме ОК-№-7025/26 «Организация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– Раздолинск в Мотыгинском муниципальном округе Красноярского края» (далее – конкурс), извещение № 0119200000126006603, ИКЗ 262246001772024600100100830017112244, на электронной торговой площадке «ТЭК-Торг» (далее – оператор электронной площадки),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Существо жалобы: неправомерные действия Заказчика при формировании извещения о проведении открытого конкурса в электронной форме, нарушающие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Жалоба соответствует требованиям частей 2 и 4 статьи 105 Закона о контрактной системе, в связи с чем принята к рассмотрению по существу.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rStyle w:val="CharStyle10"/>
        </w:rPr>
        <w:t>В адреса Подателя жалобы, Заказчика, Уполномоченного органа, Оператора ЭП посредством электронной почты было направлено уведомление содержащее информацию о месте, дате и времени заседания Комиссии.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5"/>
        </w:rPr>
        <w:t xml:space="preserve">in II mm in mi </w:t>
      </w:r>
      <w:r>
        <w:rPr>
          <w:rStyle w:val="CharStyle15"/>
          <w:lang w:val="ru-RU" w:eastAsia="ru-RU"/>
        </w:rPr>
        <w:t>II ин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Уведомление также было размещено на официальном сайте ЕИС в сфере закупок в разделе «жалобы» реестра жалоб, плановых и внеплановых проверок, их результатов и выданных предписаний, что считается надлежащим уведомлением о дате и времени заседания Комиссии.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Уведомлением, направленным Подателю жалобы, Заказчику, Уполномоченному органу, Оператору ЭП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До заседания в адрес Комиссии поступило ходатайство Подателя жалобы об участии в рассмотрении жалобы посредством видео-конференц-связи. Данное ходатайство было рассмотрено и удовлетворено.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Заседание Комиссии состоялось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 xml:space="preserve">мая </w:t>
      </w:r>
      <w:r>
        <w:rPr>
          <w:rStyle w:val="CharStyle10"/>
          <w:lang w:val="en-US" w:eastAsia="en-US"/>
        </w:rPr>
        <w:t xml:space="preserve">2026 </w:t>
      </w:r>
      <w:r>
        <w:rPr>
          <w:rStyle w:val="CharStyle10"/>
        </w:rPr>
        <w:t xml:space="preserve">года в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 xml:space="preserve">часов </w:t>
      </w:r>
      <w:r>
        <w:rPr>
          <w:rStyle w:val="CharStyle10"/>
          <w:lang w:val="en-US" w:eastAsia="en-US"/>
        </w:rPr>
        <w:t xml:space="preserve">30 </w:t>
      </w:r>
      <w:r>
        <w:rPr>
          <w:rStyle w:val="CharStyle10"/>
        </w:rPr>
        <w:t xml:space="preserve">минут </w:t>
      </w:r>
      <w:r>
        <w:rPr>
          <w:rStyle w:val="CharStyle10"/>
          <w:lang w:val="en-US" w:eastAsia="en-US"/>
        </w:rPr>
        <w:t xml:space="preserve">(UTC + 7; </w:t>
      </w:r>
      <w:r>
        <w:rPr>
          <w:rStyle w:val="CharStyle10"/>
        </w:rPr>
        <w:t xml:space="preserve">МСК </w:t>
      </w:r>
      <w:r>
        <w:rPr>
          <w:rStyle w:val="CharStyle10"/>
          <w:lang w:val="en-US" w:eastAsia="en-US"/>
        </w:rPr>
        <w:t xml:space="preserve">+4) </w:t>
      </w:r>
      <w:r>
        <w:rPr>
          <w:rStyle w:val="CharStyle10"/>
        </w:rPr>
        <w:t>в присутствии представителя Заказчика и представителя Уполномоченного органа, надлежащим образом подтвердивших свои личности и полномочия. Податель жалобы, надлежащим образом уведомленный о времени и месте рассмотрения жалобы, явку своего представителя не обеспечил.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содержании жалобы указано, что Заказчиком неправомерно не установлено требование о наличии членства участника закупки в саморегулируемой организации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СРО). Заказчиком неправомерно установлено требование по предельной величине колейности, также критерии оценки вводят участников закупки в заблуждение ввиду некорректных формулировок.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Комиссия, во исполнение полномочий, возложенных подпунктом «б»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 </w:t>
      </w:r>
      <w:r>
        <w:rPr>
          <w:rStyle w:val="CharStyle10"/>
        </w:rPr>
        <w:t xml:space="preserve">Закона о контрактной системе, а также подпунктом </w:t>
      </w:r>
      <w:r>
        <w:rPr>
          <w:rStyle w:val="CharStyle10"/>
          <w:lang w:val="en-US" w:eastAsia="en-US"/>
        </w:rPr>
        <w:t xml:space="preserve">5.3.7 </w:t>
      </w:r>
      <w:r>
        <w:rPr>
          <w:rStyle w:val="CharStyle10"/>
        </w:rPr>
        <w:t xml:space="preserve">Положения о Федеральной антимонопольной службе и подпунктом </w:t>
      </w:r>
      <w:r>
        <w:rPr>
          <w:rStyle w:val="CharStyle10"/>
          <w:lang w:val="en-US" w:eastAsia="en-US"/>
        </w:rPr>
        <w:t xml:space="preserve">7.5 </w:t>
      </w:r>
      <w:r>
        <w:rPr>
          <w:rStyle w:val="CharStyle10"/>
        </w:rPr>
        <w:t>Положения о территориальном органе ФАС России, в соответствии с Правилам осуществления контроля в сфере закупок,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Рассмотрев существо жалобы, документы и сведения, представленные сторонами и размещенные на официальном сайте ЕИС в сфере закупок, проанализировав нормы права, регулирующие рассматриваемые правоотношения, проведя внеплановую проверку, Комиссия установила следующие обстоятельства.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связи с возникшей потребностью у Заказчика Уполномоченным органом были совершены действия по проведению закупки ОК-№-7025/26 «Организация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Раздолинск в Мотыгинском муниципальном округе Красноярского края».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Извещение о проведении электронного конкурса на право заключения контракта на организацию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Раздолинск в Мотыгинском муниципальном округе Красноярского края размещено в ЕИС </w:t>
      </w:r>
      <w:r>
        <w:rPr>
          <w:rStyle w:val="CharStyle10"/>
          <w:lang w:val="en-US" w:eastAsia="en-US"/>
        </w:rPr>
        <w:t>15.04.2026.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42 </w:t>
      </w:r>
      <w:r>
        <w:rPr>
          <w:rStyle w:val="CharStyle10"/>
        </w:rPr>
        <w:t>Закона о контактной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содержащее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наименование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Объектом закупки является организация и выполнение всего комплекса работ на разработку проектной документации по приобретению и установке автоматического пункта весового и габаритного контроля транспортных средств в целях дооснащения автомобильной дороги Мотыгино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Раздолинск в Мотыгинском муниципальном округе Красноярского края.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письменных пояснениях Заказчика и Уполномоченного органа указано, что закупка не относится к объектам архитектурно-строительного проектирования, а является текущим содержанием автомобильной дороги в связи с чем требования к наличию СРО не устанавливаются. Заказчиком указанное требование установлено не было.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части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48 </w:t>
      </w:r>
      <w:r>
        <w:rPr>
          <w:rStyle w:val="CharStyle10"/>
        </w:rPr>
        <w:t>Градостроительного кодекса Российской Федерации работы по договорам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архитектурно</w:t>
        <w:softHyphen/>
        <w:t>строительного проектирования.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соответствии с частью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52 </w:t>
      </w:r>
      <w:r>
        <w:rPr>
          <w:rStyle w:val="CharStyle10"/>
        </w:rPr>
        <w:t xml:space="preserve">Градостроительного кодекса Российской Федерации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 иное не установлено.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Согласно подпункту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пункта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 xml:space="preserve">раздела </w:t>
      </w:r>
      <w:r>
        <w:rPr>
          <w:rStyle w:val="CharStyle10"/>
          <w:lang w:val="en-US" w:eastAsia="en-US"/>
        </w:rPr>
        <w:t xml:space="preserve">IV </w:t>
      </w:r>
      <w:r>
        <w:rPr>
          <w:rStyle w:val="CharStyle10"/>
        </w:rPr>
        <w:t xml:space="preserve">Приказа Минтранса РФ от </w:t>
      </w:r>
      <w:r>
        <w:rPr>
          <w:rStyle w:val="CharStyle10"/>
          <w:lang w:val="en-US" w:eastAsia="en-US"/>
        </w:rPr>
        <w:t xml:space="preserve">16.11.2012 № 402 </w:t>
      </w:r>
      <w:r>
        <w:rPr>
          <w:rStyle w:val="CharStyle10"/>
        </w:rPr>
        <w:t>«Об утверждении Классификации работ по капитальному ремонту, ремонту и содержанию автомобильных дорог» в состав мероприятий по содержанию входят работы по установке автоматических пунктов весового и габаритного контроля транспортных средств (в том числе отдельных элементов).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поскольку объектом закупки является выполнение работ по текущему ремонту и содержанию, Заказчик правомерно не установил требования о наличии участника членства в СРО.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Относительно довода Подателя жалобы об установлении требования по предельной величине колейности Комиссия отмечает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Заказчиком установлено требование, что предельная величина колейности в зоне установки весоизмерительных датчиков, при которой АПВГК сохраняет гарантированные метрологические характеристики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не менее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>мм.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Пункт </w:t>
      </w:r>
      <w:r>
        <w:rPr>
          <w:rStyle w:val="CharStyle10"/>
          <w:lang w:val="en-US" w:eastAsia="en-US"/>
        </w:rPr>
        <w:t xml:space="preserve">39 </w:t>
      </w:r>
      <w:r>
        <w:rPr>
          <w:rStyle w:val="CharStyle10"/>
        </w:rPr>
        <w:t xml:space="preserve">Приказа Минтранса РФ </w:t>
      </w:r>
      <w:r>
        <w:rPr>
          <w:rStyle w:val="CharStyle10"/>
          <w:lang w:val="en-US" w:eastAsia="en-US"/>
        </w:rPr>
        <w:t xml:space="preserve">№ 348 </w:t>
      </w:r>
      <w:r>
        <w:rPr>
          <w:rStyle w:val="CharStyle10"/>
        </w:rPr>
        <w:t xml:space="preserve">устанавливает требования к участку автомобильной дороги на которой должен быть установлен пункт автоматического весового контроля. При этом обжалуемое требование установлено к датчикам, которые должны сохранять гарантированные метрологические характеристики при предельной величине колейности не менее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>мм во время эксплуатации комплекса АПВГК. Предельная величина колейности, при которой сохраняется стабильность результатов измерений АПВГК, определяется руководством по эксплуатации оборудования АПВГК.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указанное условие соответствует требованиям действующего законодательства и установлено Заказчиком правомерно.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Относительно довода Подателя жалобы о том, что критерии оценки вводят участников закупки в заблуждение ввиду некорректных формулировок Комиссией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Предметом закупки является выполнение проектных работ, соответственно, заказчиком в порядке оценки установлены требования к опыту работ в области проектирования. Выполнение строительно-монтажных работ в порядке оценки не фигурирует, следовательно, у участников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закупки не может возникнуть неопределенности. Кроме того, поскольку предметом закупки является проектирование (выполнение проектных работ), то опыт строительно-монтажных работ не подлежит рассмотрению на основании Постановления Правительства РФ </w:t>
      </w:r>
      <w:r>
        <w:rPr>
          <w:rStyle w:val="CharStyle10"/>
          <w:lang w:val="en-US" w:eastAsia="en-US"/>
        </w:rPr>
        <w:t xml:space="preserve">№ 2604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31.12.2024. </w:t>
      </w:r>
      <w:r>
        <w:rPr>
          <w:rStyle w:val="CharStyle10"/>
        </w:rPr>
        <w:t>Союзы «и/или» находятся между словами «установка» и «устройство» в зависимости от вида работ, представленных в качестве опыта участниками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в целях недопущения ограничения конкуренции Заказчиком использованы союзы «и/или», Комиссией установлено, что упоминание строительно-монтажных работ в требованиях извещения отсутствует, следовательно, критерии оценки не содержат двусмысленного толкования и установлены Заказчиком правомерно.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на основании вышеизложенного, Комиссия пришла к выводу об отсутствии нарушений в действиях субъектов контроля норм действующего законодательства о контрактной системе при формировании положений извещения о проведении закупки, доводы Подателя жалобы не нашли своего подтверждения и признаны комиссией несостоятельными.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0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0"/>
          <w:lang w:val="en-US" w:eastAsia="en-US"/>
        </w:rPr>
        <w:t xml:space="preserve">3, 8, 15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99, </w:t>
      </w: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 Комиссия Красноярского УФАС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Признать жалобу ООО «Евро инвест»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rStyle w:val="CharStyle10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527050" distL="114300" distR="126365" simplePos="0" relativeHeight="125829384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12700</wp:posOffset>
                </wp:positionV>
                <wp:extent cx="956945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Е.О. Хорышев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7.85000000000002pt;margin-top:1.pt;width:75.350000000000009pt;height:17.050000000000001pt;z-index:-125829369;mso-wrap-distance-left:9.pt;mso-wrap-distance-right:9.9500000000000011pt;mso-wrap-distance-bottom:41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Е.О. Хорышев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0" distL="151130" distR="113665" simplePos="0" relativeHeight="125829386" behindDoc="0" locked="0" layoutInCell="1" allowOverlap="1">
                <wp:simplePos x="0" y="0"/>
                <wp:positionH relativeFrom="page">
                  <wp:posOffset>6232525</wp:posOffset>
                </wp:positionH>
                <wp:positionV relativeFrom="paragraph">
                  <wp:posOffset>537210</wp:posOffset>
                </wp:positionV>
                <wp:extent cx="932815" cy="21971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Н.Е. Миракян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0.75pt;margin-top:42.300000000000004pt;width:73.450000000000003pt;height:17.300000000000001pt;z-index:-125829367;mso-wrap-distance-left:11.9pt;mso-wrap-distance-top:41.300000000000004pt;mso-wrap-distance-right:8.950000000000001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Н.Е. Миракян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Председатель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20" w:line="240" w:lineRule="auto"/>
        <w:ind w:left="0" w:right="0" w:firstLine="0"/>
        <w:jc w:val="right"/>
      </w:pPr>
      <w:r>
        <w:rPr>
          <w:rStyle w:val="CharStyle10"/>
        </w:rPr>
        <w:t>Д.Н. Пелевина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000000"/>
        </w:rPr>
        <w:t>Исп.Миракян Н.Е.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000000"/>
        </w:rPr>
        <w:t>тел.2110144, вн.024-134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26" w:right="540" w:bottom="1196" w:left="1098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9998075</wp:posOffset>
              </wp:positionV>
              <wp:extent cx="3267710" cy="12192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2026-7099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2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7.25pt;width:257.30000000000001pt;height:9.59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2026-7099</w:t>
                      <w:tab/>
                    </w:r>
                    <w:fldSimple w:instr=" PAGE \* MERGEFORMAT ">
                      <w:r>
                        <w:rPr>
                          <w:rStyle w:val="CharStyle12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9998075</wp:posOffset>
              </wp:positionV>
              <wp:extent cx="658495" cy="12192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2026-7099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87.25pt;width:51.8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2026-7099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8">
    <w:name w:val="Picture caption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8"/>
      <w:szCs w:val="68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30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7">
    <w:name w:val="Picture caption"/>
    <w:basedOn w:val="Normal"/>
    <w:link w:val="CharStyle8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50"/>
      <w:sz w:val="68"/>
      <w:szCs w:val="68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