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2.05.2026</w:t>
      </w:r>
      <w:r>
        <w:fldChar w:fldCharType="end"/>
      </w:r>
      <w:r>
        <w:rPr>
          <w:rStyle w:val="CharStyle10"/>
        </w:rPr>
        <w:tab/>
        <w:t>№ 19968/26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ГБУЗ «ГКБ им. С.С. Юдина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2"/>
        </w:rPr>
        <w:t>ООО «Интегрос»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18" w:bottom="1476" w:left="1293" w:header="0" w:footer="3" w:gutter="0"/>
          <w:pgNumType w:start="1"/>
          <w:cols w:num="2" w:space="94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"mailto:info@integros.biz" </w:instrText>
      </w:r>
      <w:r>
        <w:fldChar w:fldCharType="separate"/>
      </w:r>
      <w:r>
        <w:rPr>
          <w:rStyle w:val="CharStyle12"/>
          <w:lang w:val="en-US" w:eastAsia="en-US"/>
        </w:rPr>
        <w:t>info@integros.biz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13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№077/06/105-5716/2026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38100</wp:posOffset>
                </wp:positionV>
                <wp:extent cx="1203960" cy="414655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06.05.2026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6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pt;margin-top:3.pt;width:94.799999999999997pt;height:32.649999999999999pt;z-index:-125829375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06.05.2026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60"/>
                        <w:jc w:val="left"/>
                      </w:pPr>
                      <w:r>
                        <w:rPr>
                          <w:rStyle w:val="CharStyle12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по контролю в сфере закупок товаров, работ, услуг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участии представителя ГБУЗ «ГКБ им. С.С. Юдина ДЗМ»: Животова К.Н. (дов.№32 от </w:t>
      </w:r>
      <w:r>
        <w:rPr>
          <w:rStyle w:val="CharStyle12"/>
          <w:lang w:val="en-US" w:eastAsia="en-US"/>
        </w:rPr>
        <w:t>01.01.2026),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отсутствие представителей ООО «Интегрос»,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ООО «Интегрос»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Заказчик) при проведении открытого конкурса в электронной форме на право заключения государственного контракта на выполнение работ по текущему ремонту систем электрооборудования и освещения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both"/>
      </w:pPr>
      <w:r>
        <w:rPr>
          <w:rStyle w:val="CharStyle12"/>
        </w:rPr>
        <w:t xml:space="preserve">6-го этажа ГБУЗ «ГКБ им. С.С. Юдина ДЗМ» (СЗ </w:t>
      </w:r>
      <w:r>
        <w:rPr>
          <w:rStyle w:val="CharStyle12"/>
          <w:lang w:val="en-US" w:eastAsia="en-US"/>
        </w:rPr>
        <w:t xml:space="preserve">-273) </w:t>
      </w:r>
      <w:r>
        <w:rPr>
          <w:rStyle w:val="CharStyle12"/>
        </w:rPr>
        <w:t xml:space="preserve">по адресу: г. Москва, Коломенский проезд д.4, корп. </w:t>
      </w:r>
      <w:r>
        <w:rPr>
          <w:rStyle w:val="CharStyle12"/>
          <w:lang w:val="en-US" w:eastAsia="en-US"/>
        </w:rPr>
        <w:t xml:space="preserve">12 (6 </w:t>
      </w:r>
      <w:r>
        <w:rPr>
          <w:rStyle w:val="CharStyle12"/>
        </w:rPr>
        <w:t xml:space="preserve">этаж) (Закупка </w:t>
      </w:r>
      <w:r>
        <w:rPr>
          <w:rStyle w:val="CharStyle12"/>
          <w:lang w:val="en-US" w:eastAsia="en-US"/>
        </w:rPr>
        <w:t xml:space="preserve">№0373200027426000766)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составе жалобы Заявитель указывает, что в описании объекта закупки неправомерно не представлена достаточная информация о наполняемости электротехническим оборудованием электрических шкафов, ввиду чего участникам закупки не предоставляется возможным подобрать комплектность электрических шкафов, ввиду чего требование п.2.8 технического задания является неисполнимым.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определено, что в описании объекта закупки Заказчиком установлено в том числе следующее требование: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«2.7. </w:t>
      </w:r>
      <w:r>
        <w:rPr>
          <w:rStyle w:val="CharStyle12"/>
        </w:rPr>
        <w:t>При выполнении работ Подрядчик должен обеспечить объект,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60" w:line="293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44" w:bottom="1383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подлежащий ремонту, всеми идами материально-технических ресурсов в соответствии с технологической последовательностью производства ремонтных работ, а также обязан применять материалы, соответствующие требованиям сметной документации. Используемые материалы и оборудование должны быть </w:t>
      </w:r>
      <w:r>
        <w:rPr>
          <w:rStyle w:val="CharStyle12"/>
          <w:sz w:val="24"/>
          <w:szCs w:val="24"/>
          <w:lang w:val="en-US" w:eastAsia="en-US"/>
        </w:rPr>
        <w:t>2026-23094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обеспеченными техническими паспортами и (или) сертификатами, удостоверяющими их качество»;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«2.8. </w:t>
      </w:r>
      <w:r>
        <w:rPr>
          <w:rStyle w:val="CharStyle12"/>
        </w:rPr>
        <w:t xml:space="preserve">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(трех) рабочих дней с даты заключения Контракта Подрядчик предоставляет на утверждение Заказчику образцы материалов, планируемых к применению при производстве каждого вида работ».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в извещения описания объекта закупки Заказчиком размещено описание объекта закупки, сметная документация и ведомости объемов работ, содержащие перечень работ, их объем, функциональное назначение оборудования, а также основные параметры, необходимые для выполнения работ и формирования ценового предложения участниками закупки, при этом сметной документацией предусмотрено изготовление электротехнического оборудования индивидуального исполнения, что прямо указано в документации, указание габаритных размеров, функционального назначения и привязки к объекту выполнения работ является достаточным для определения стоимости изготовления и монтажа соответствующего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представитель Заказчика отметил, что положения п.2.8 описания объекта закупки относится к используемым материалам и не связаны с разработкой или согласованием технических решений по изготовлению оборудования индивидуального исполнения, спорное требование направлено на контроль качества применяемых материалов и не ограничивает количество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при этом в составе жалобы Заявителем, не представлено документов и сведений, подтверждающих доводы жалобы и свидетельствующих о неисполнимости установленного требования,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«Интегрос» на действия ГБУЗ «ГКБ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им. С.С. Юдина 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2"/>
        </w:rPr>
        <w:t>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243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4470" distL="0" distR="0" simplePos="0" relativeHeight="125829380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330200</wp:posOffset>
                </wp:positionV>
                <wp:extent cx="188087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850000000000001pt;margin-top:26.pt;width:148.09999999999999pt;height:19.900000000000002pt;z-index:-125829373;mso-wrap-distance-left:0;mso-wrap-distance-top:26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4670" simplePos="0" relativeHeight="125829382" behindDoc="0" locked="0" layoutInCell="1" allowOverlap="1">
            <wp:simplePos x="0" y="0"/>
            <wp:positionH relativeFrom="page">
              <wp:posOffset>3127375</wp:posOffset>
            </wp:positionH>
            <wp:positionV relativeFrom="paragraph">
              <wp:posOffset>421640</wp:posOffset>
            </wp:positionV>
            <wp:extent cx="316865" cy="36576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44999999999999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4470" distL="0" distR="0" simplePos="0" relativeHeight="125829383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55000000000001pt;margin-top:26.pt;width:89.5pt;height:19.900000000000002pt;z-index:-125829370;mso-wrap-distance-left:0;mso-wrap-distance-top:26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40000000000003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/>
        <w:ind w:right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19999999999999pt;margin-top:11.95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ПЕРЕВЕРЗЕВА ЕЛИЗАВЕТА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00FFF3ACD3A01A73F4C680C3941</w:t>
      </w:r>
      <w:r>
        <w:rPr>
          <w:rStyle w:val="CharStyle20"/>
        </w:rPr>
        <w:t>ЕЗСА026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160"/>
        <w:ind w:right="0"/>
        <w:jc w:val="left"/>
      </w:pPr>
      <w:r>
        <w:rPr>
          <w:rStyle w:val="CharStyle20"/>
        </w:rPr>
        <w:t xml:space="preserve">Действителен с 11.12.2025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06.03.2027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47" w:right="532" w:bottom="1647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2517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2026-23094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7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2026-23094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9940290</wp:posOffset>
              </wp:positionV>
              <wp:extent cx="72834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2026-23094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6.850000000000001pt;margin-top:782.7000000000000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2026-23094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198755</wp:posOffset>
              </wp:positionV>
              <wp:extent cx="6985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15.65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509270</wp:posOffset>
              </wp:positionV>
              <wp:extent cx="64135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65000000000003pt;margin-top:40.100000000000001pt;width:5.0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line="266" w:lineRule="auto"/>
      <w:ind w:left="38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