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20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по г. Москве</w:t>
      </w:r>
    </w:p>
    <w:p>
      <w:pPr>
        <w:pStyle w:val="Style5"/>
        <w:keepNext w:val="0"/>
        <w:keepLines w:val="0"/>
        <w:widowControl w:val="0"/>
        <w:shd w:val="clear" w:color="auto" w:fill="auto"/>
        <w:bidi w:val="0"/>
        <w:spacing w:before="0" w:after="100" w:line="240" w:lineRule="auto"/>
        <w:ind w:left="0" w:right="0" w:firstLine="0"/>
        <w:jc w:val="center"/>
      </w:pPr>
      <w:r>
        <w:rPr>
          <w:rStyle w:val="CharStyle6"/>
        </w:rPr>
        <w:t>Мясницкий проезд, д.4, стр. 1</w:t>
        <w:br/>
        <w:t>107078, г. Москва,</w:t>
        <w:br/>
        <w:t>тел. (495) 784-75-05, факс (495) 607-49-29</w:t>
        <w:br/>
        <w:t xml:space="preserve">факс (495) 607-42-92, </w:t>
      </w:r>
      <w:r>
        <w:rPr>
          <w:rStyle w:val="CharStyle6"/>
          <w:u w:val="single"/>
          <w:lang w:val="en-US" w:eastAsia="en-US"/>
        </w:rPr>
        <w:t xml:space="preserve">e-mail: </w:t>
      </w:r>
      <w:r>
        <w:fldChar w:fldCharType="begin"/>
      </w:r>
      <w:r>
        <w:rPr/>
        <w:instrText> HYPERLINK "mailto:to77@fas.gov.ru" </w:instrText>
      </w:r>
      <w:r>
        <w:fldChar w:fldCharType="separate"/>
      </w:r>
      <w:r>
        <w:rPr>
          <w:rStyle w:val="CharStyle6"/>
          <w:u w:val="single"/>
          <w:lang w:val="en-US" w:eastAsia="en-US"/>
        </w:rPr>
        <w:t>to77@fas.gov.ru</w:t>
      </w:r>
      <w:r>
        <w:fldChar w:fldCharType="end"/>
      </w:r>
    </w:p>
    <w:p>
      <w:pPr>
        <w:pStyle w:val="Style9"/>
        <w:keepNext/>
        <w:keepLines/>
        <w:widowControl w:val="0"/>
        <w:shd w:val="clear" w:color="auto" w:fill="auto"/>
        <w:tabs>
          <w:tab w:pos="1814" w:val="left"/>
        </w:tabs>
        <w:bidi w:val="0"/>
        <w:spacing w:before="0" w:after="0" w:line="240" w:lineRule="auto"/>
        <w:ind w:left="0" w:right="0" w:firstLine="0"/>
        <w:jc w:val="center"/>
      </w:pPr>
      <w:bookmarkStart w:id="0" w:name="bookmark0"/>
      <w:r>
        <w:rPr>
          <w:rStyle w:val="CharStyle10"/>
        </w:rPr>
        <w:t>1</w:t>
      </w:r>
      <w:r>
        <w:fldChar w:fldCharType="begin"/>
      </w:r>
      <w:r>
        <w:rPr/>
        <w:instrText> HYPERLINK "file://f207ca94-a13c-4ba0-b72d-f018c9eed8f1/" </w:instrText>
      </w:r>
      <w:r>
        <w:fldChar w:fldCharType="separate"/>
      </w:r>
      <w:r>
        <w:rPr>
          <w:rStyle w:val="CharStyle10"/>
        </w:rPr>
        <w:t>2.05.2026</w:t>
      </w:r>
      <w:r>
        <w:fldChar w:fldCharType="end"/>
      </w:r>
      <w:r>
        <w:rPr>
          <w:rStyle w:val="CharStyle10"/>
        </w:rPr>
        <w:tab/>
        <w:t>№ 19720/26</w:t>
      </w:r>
      <w:bookmarkEnd w:id="0"/>
    </w:p>
    <w:p>
      <w:pPr>
        <w:pStyle w:val="Style11"/>
        <w:keepNext w:val="0"/>
        <w:keepLines w:val="0"/>
        <w:widowControl w:val="0"/>
        <w:shd w:val="clear" w:color="auto" w:fill="auto"/>
        <w:bidi w:val="0"/>
        <w:spacing w:before="0" w:after="0" w:line="240" w:lineRule="auto"/>
        <w:ind w:left="0" w:right="0" w:firstLine="0"/>
        <w:jc w:val="left"/>
      </w:pPr>
      <w:r>
        <w:rPr>
          <w:rStyle w:val="CharStyle12"/>
        </w:rPr>
        <w:t>ГКУ «АМПП»</w:t>
      </w:r>
    </w:p>
    <w:p>
      <w:pPr>
        <w:pStyle w:val="Style11"/>
        <w:keepNext w:val="0"/>
        <w:keepLines w:val="0"/>
        <w:widowControl w:val="0"/>
        <w:shd w:val="clear" w:color="auto" w:fill="auto"/>
        <w:bidi w:val="0"/>
        <w:spacing w:before="0" w:after="280" w:line="240" w:lineRule="auto"/>
        <w:ind w:left="0" w:right="0" w:firstLine="0"/>
        <w:jc w:val="left"/>
      </w:pPr>
      <w:r>
        <w:fldChar w:fldCharType="begin"/>
      </w:r>
      <w:r>
        <w:rPr/>
        <w:instrText> HYPERLINK "mailto:dtz-torgi@transport.mos.ru" </w:instrText>
      </w:r>
      <w:r>
        <w:fldChar w:fldCharType="separate"/>
      </w:r>
      <w:r>
        <w:rPr>
          <w:rStyle w:val="CharStyle12"/>
          <w:lang w:val="en-US" w:eastAsia="en-US"/>
        </w:rPr>
        <w:t>dtz-torgi@transport.mos.ru</w:t>
      </w:r>
      <w:r>
        <w:fldChar w:fldCharType="end"/>
      </w:r>
    </w:p>
    <w:p>
      <w:pPr>
        <w:pStyle w:val="Style11"/>
        <w:keepNext w:val="0"/>
        <w:keepLines w:val="0"/>
        <w:widowControl w:val="0"/>
        <w:shd w:val="clear" w:color="auto" w:fill="auto"/>
        <w:bidi w:val="0"/>
        <w:spacing w:before="0" w:after="0" w:line="240" w:lineRule="auto"/>
        <w:ind w:left="0" w:right="0" w:firstLine="0"/>
        <w:jc w:val="left"/>
      </w:pPr>
      <w:r>
        <w:rPr>
          <w:rStyle w:val="CharStyle12"/>
        </w:rPr>
        <w:t>ГКУ «ДТЗ»</w:t>
      </w:r>
    </w:p>
    <w:p>
      <w:pPr>
        <w:pStyle w:val="Style11"/>
        <w:keepNext w:val="0"/>
        <w:keepLines w:val="0"/>
        <w:widowControl w:val="0"/>
        <w:shd w:val="clear" w:color="auto" w:fill="auto"/>
        <w:bidi w:val="0"/>
        <w:spacing w:before="0" w:after="280" w:line="240" w:lineRule="auto"/>
        <w:ind w:left="0" w:right="0" w:firstLine="0"/>
        <w:jc w:val="left"/>
      </w:pPr>
      <w:r>
        <w:fldChar w:fldCharType="begin"/>
      </w:r>
      <w:r>
        <w:rPr/>
        <w:instrText> HYPERLINK "mailto:dtz-torgi@transport.mos.ru" </w:instrText>
      </w:r>
      <w:r>
        <w:fldChar w:fldCharType="separate"/>
      </w:r>
      <w:r>
        <w:rPr>
          <w:rStyle w:val="CharStyle12"/>
          <w:lang w:val="en-US" w:eastAsia="en-US"/>
        </w:rPr>
        <w:t>dtz-torgi@transport.mos.ru</w:t>
      </w:r>
      <w:r>
        <w:fldChar w:fldCharType="end"/>
      </w:r>
    </w:p>
    <w:p>
      <w:pPr>
        <w:pStyle w:val="Style11"/>
        <w:keepNext w:val="0"/>
        <w:keepLines w:val="0"/>
        <w:widowControl w:val="0"/>
        <w:shd w:val="clear" w:color="auto" w:fill="auto"/>
        <w:bidi w:val="0"/>
        <w:spacing w:before="0" w:after="0" w:line="240" w:lineRule="auto"/>
        <w:ind w:left="0" w:right="0" w:firstLine="0"/>
        <w:jc w:val="left"/>
      </w:pPr>
      <w:r>
        <w:rPr>
          <w:rStyle w:val="CharStyle12"/>
        </w:rPr>
        <w:t>ИП Зайцева А.С.</w:t>
      </w:r>
    </w:p>
    <w:p>
      <w:pPr>
        <w:pStyle w:val="Style11"/>
        <w:keepNext w:val="0"/>
        <w:keepLines w:val="0"/>
        <w:widowControl w:val="0"/>
        <w:shd w:val="clear" w:color="auto" w:fill="auto"/>
        <w:bidi w:val="0"/>
        <w:spacing w:before="0" w:after="280" w:line="240" w:lineRule="auto"/>
        <w:ind w:left="0" w:right="0" w:firstLine="0"/>
        <w:jc w:val="left"/>
      </w:pPr>
      <w:r>
        <w:fldChar w:fldCharType="begin"/>
      </w:r>
      <w:r>
        <w:rPr/>
        <w:instrText> HYPERLINK "mailto:tender-ipz@mail.ru" </w:instrText>
      </w:r>
      <w:r>
        <w:fldChar w:fldCharType="separate"/>
      </w:r>
      <w:r>
        <w:rPr>
          <w:rStyle w:val="CharStyle12"/>
          <w:lang w:val="en-US" w:eastAsia="en-US"/>
        </w:rPr>
        <w:t>tender-ipz@mail.ru</w:t>
      </w:r>
      <w:r>
        <w:fldChar w:fldCharType="end"/>
      </w:r>
    </w:p>
    <w:p>
      <w:pPr>
        <w:pStyle w:val="Style11"/>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4" w:right="1534" w:bottom="708" w:left="1293" w:header="0" w:footer="3" w:gutter="0"/>
          <w:pgNumType w:start="1"/>
          <w:cols w:num="2" w:space="1152"/>
          <w:noEndnote/>
          <w:titlePg/>
          <w:rtlGutter w:val="0"/>
          <w:docGrid w:linePitch="360"/>
        </w:sectPr>
      </w:pPr>
      <w:r>
        <w:rPr>
          <w:rStyle w:val="CharStyle12"/>
        </w:rPr>
        <w:t xml:space="preserve">ПАО «ТРАНСКАПИТАЛБАНК» </w:t>
      </w:r>
      <w:r>
        <w:fldChar w:fldCharType="begin"/>
      </w:r>
      <w:r>
        <w:rPr/>
        <w:instrText> HYPERLINK "mailto:info@tkbbank.ru" </w:instrText>
      </w:r>
      <w:r>
        <w:fldChar w:fldCharType="separate"/>
      </w:r>
      <w:r>
        <w:rPr>
          <w:rStyle w:val="CharStyle12"/>
          <w:lang w:val="en-US" w:eastAsia="en-US"/>
        </w:rPr>
        <w:t>info@tkbbank.ru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2" w:after="10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87" w:right="0" w:bottom="615" w:left="0" w:header="0" w:footer="3" w:gutter="0"/>
          <w:cols w:space="720"/>
          <w:noEndnote/>
          <w:rtlGutter w:val="0"/>
          <w:docGrid w:linePitch="360"/>
        </w:sectPr>
      </w:pPr>
    </w:p>
    <w:p>
      <w:pPr>
        <w:pStyle w:val="Style11"/>
        <w:keepNext w:val="0"/>
        <w:keepLines w:val="0"/>
        <w:widowControl w:val="0"/>
        <w:shd w:val="clear" w:color="auto" w:fill="auto"/>
        <w:bidi w:val="0"/>
        <w:spacing w:before="0" w:after="0" w:line="240" w:lineRule="auto"/>
        <w:ind w:left="0" w:right="0" w:firstLine="0"/>
        <w:jc w:val="center"/>
      </w:pPr>
      <w:r>
        <w:rPr>
          <w:rStyle w:val="CharStyle12"/>
          <w:b/>
          <w:bCs/>
        </w:rPr>
        <w:t>РЕШЕНИЕ</w:t>
      </w:r>
    </w:p>
    <w:p>
      <w:pPr>
        <w:pStyle w:val="Style11"/>
        <w:keepNext w:val="0"/>
        <w:keepLines w:val="0"/>
        <w:widowControl w:val="0"/>
        <w:shd w:val="clear" w:color="auto" w:fill="auto"/>
        <w:tabs>
          <w:tab w:pos="8957" w:val="left"/>
        </w:tabs>
        <w:bidi w:val="0"/>
        <w:spacing w:before="0" w:after="0" w:line="240" w:lineRule="auto"/>
        <w:ind w:left="0" w:right="0" w:firstLine="0"/>
        <w:jc w:val="center"/>
      </w:pPr>
      <w:r>
        <w:rPr>
          <w:rStyle w:val="CharStyle12"/>
          <w:b/>
          <w:bCs/>
        </w:rPr>
        <w:t xml:space="preserve">по делу </w:t>
      </w:r>
      <w:r>
        <w:rPr>
          <w:rStyle w:val="CharStyle12"/>
          <w:b/>
          <w:bCs/>
          <w:lang w:val="en-US" w:eastAsia="en-US"/>
        </w:rPr>
        <w:t xml:space="preserve">№ 077/06/105-5715/2026 </w:t>
      </w:r>
      <w:r>
        <w:rPr>
          <w:rStyle w:val="CharStyle12"/>
          <w:b/>
          <w:bCs/>
        </w:rPr>
        <w:t>о нарушении</w:t>
        <w:br/>
        <w:t>законодательства о контрактной системе</w:t>
        <w:br/>
      </w:r>
      <w:r>
        <w:rPr>
          <w:rStyle w:val="CharStyle12"/>
          <w:b/>
          <w:bCs/>
          <w:lang w:val="en-US" w:eastAsia="en-US"/>
        </w:rPr>
        <w:t>06.05.2026</w:t>
        <w:tab/>
      </w:r>
      <w:r>
        <w:rPr>
          <w:rStyle w:val="CharStyle12"/>
          <w:b/>
          <w:bCs/>
        </w:rPr>
        <w:t>г. Москва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Комиссия по контролю в сфере закупок товаров, работ, услуг Управления Федеральной антимонопольной службы по г. Москве (далее </w:t>
      </w:r>
      <w:r>
        <w:rPr>
          <w:rStyle w:val="CharStyle12"/>
          <w:lang w:val="en-US" w:eastAsia="en-US"/>
        </w:rPr>
        <w:t xml:space="preserve">– </w:t>
      </w:r>
      <w:r>
        <w:rPr>
          <w:rStyle w:val="CharStyle12"/>
        </w:rPr>
        <w:t>Комиссия Управления) в составе: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Председательствующего </w:t>
      </w:r>
      <w:r>
        <w:rPr>
          <w:rStyle w:val="CharStyle12"/>
          <w:lang w:val="en-US" w:eastAsia="en-US"/>
        </w:rPr>
        <w:t xml:space="preserve">- </w:t>
      </w:r>
      <w:r>
        <w:rPr>
          <w:rStyle w:val="CharStyle12"/>
        </w:rPr>
        <w:t>главного государственного инспектора отдела обжалования государственных закупок А.А. Кутейникова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Членов комиссии: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Главного специалиста-эксперта отдела обжалования государственных закупок М.О. Мацневой,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Специалиста-эксперта отдела обжалования государственных закупок А.С. Гелмутдиновой,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рассмотрение жалобы проводилось дистанционно (посредством видео</w:t>
        <w:softHyphen/>
        <w:t>конференц-связи),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при участии представителей: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ГКУ «АМПП», ГКУ «ДТЗ»: Ермаковой А.А. (по доверенности ДТЗ-04-01-01-78/25 от </w:t>
      </w:r>
      <w:r>
        <w:rPr>
          <w:rStyle w:val="CharStyle12"/>
          <w:lang w:val="en-US" w:eastAsia="en-US"/>
        </w:rPr>
        <w:t>09.12.2025);</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ИП Зайцева А.С.: В.С. Пендо (по доверенности </w:t>
      </w:r>
      <w:r>
        <w:rPr>
          <w:rStyle w:val="CharStyle12"/>
          <w:lang w:val="en-US" w:eastAsia="en-US"/>
        </w:rPr>
        <w:t xml:space="preserve">№ </w:t>
      </w:r>
      <w:r>
        <w:rPr>
          <w:rStyle w:val="CharStyle12"/>
        </w:rPr>
        <w:t xml:space="preserve">б/н от </w:t>
      </w:r>
      <w:r>
        <w:rPr>
          <w:rStyle w:val="CharStyle12"/>
          <w:lang w:val="en-US" w:eastAsia="en-US"/>
        </w:rPr>
        <w:t xml:space="preserve">04.05.2026), </w:t>
      </w:r>
      <w:r>
        <w:rPr>
          <w:rStyle w:val="CharStyle12"/>
        </w:rPr>
        <w:t xml:space="preserve">В.И. Гулиной (по доверенности </w:t>
      </w:r>
      <w:r>
        <w:rPr>
          <w:rStyle w:val="CharStyle12"/>
          <w:lang w:val="en-US" w:eastAsia="en-US"/>
        </w:rPr>
        <w:t xml:space="preserve">№ </w:t>
      </w:r>
      <w:r>
        <w:rPr>
          <w:rStyle w:val="CharStyle12"/>
        </w:rPr>
        <w:t xml:space="preserve">б/н от </w:t>
      </w:r>
      <w:r>
        <w:rPr>
          <w:rStyle w:val="CharStyle12"/>
          <w:lang w:val="en-US" w:eastAsia="en-US"/>
        </w:rPr>
        <w:t>04.05.2026);</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 отсутствие представителей ПАО «ТРАНСКАПИТАЛБАНК» о времени и порядке заседания Комиссии Управления уведомленных надлежащим образом посредством письма Московского УФАС России Исх. </w:t>
      </w:r>
      <w:r>
        <w:rPr>
          <w:rStyle w:val="CharStyle12"/>
          <w:lang w:val="en-US" w:eastAsia="en-US"/>
        </w:rPr>
        <w:t xml:space="preserve">№ </w:t>
      </w:r>
      <w:r>
        <w:rPr>
          <w:rStyle w:val="CharStyle12"/>
        </w:rPr>
        <w:t xml:space="preserve">КС/18877/26 от </w:t>
      </w:r>
      <w:r>
        <w:rPr>
          <w:rStyle w:val="CharStyle12"/>
          <w:lang w:val="en-US" w:eastAsia="en-US"/>
        </w:rPr>
        <w:t>05.05.2026.</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рассмотрев жалобу ИП Зайцева А.С. (далее </w:t>
      </w:r>
      <w:r>
        <w:rPr>
          <w:rStyle w:val="CharStyle12"/>
          <w:lang w:val="en-US" w:eastAsia="en-US"/>
        </w:rPr>
        <w:t xml:space="preserve">— </w:t>
      </w:r>
      <w:r>
        <w:rPr>
          <w:rStyle w:val="CharStyle12"/>
        </w:rPr>
        <w:t xml:space="preserve">Заявитель) на действия ГКУ г. Москвы «Администратор Московского парковочного пространства» (далее </w:t>
      </w:r>
      <w:r>
        <w:rPr>
          <w:rStyle w:val="CharStyle12"/>
          <w:lang w:val="en-US" w:eastAsia="en-US"/>
        </w:rPr>
        <w:t xml:space="preserve">— </w:t>
      </w:r>
      <w:r>
        <w:rPr>
          <w:rStyle w:val="CharStyle12"/>
        </w:rPr>
        <w:t>Заказчик) при проведении электронного аукциона на право заключения государственного контракта на оказание услуг по техническому обслуживанию</w:t>
      </w:r>
    </w:p>
    <w:p>
      <w:pPr>
        <w:widowControl w:val="0"/>
        <w:spacing w:line="1" w:lineRule="exact"/>
      </w:pPr>
      <w:r>
        <w:drawing>
          <wp:anchor distT="88900" distB="0" distL="0" distR="0" simplePos="0" relativeHeight="125829378" behindDoc="0" locked="0" layoutInCell="1" allowOverlap="1">
            <wp:simplePos x="0" y="0"/>
            <wp:positionH relativeFrom="page">
              <wp:posOffset>717550</wp:posOffset>
            </wp:positionH>
            <wp:positionV relativeFrom="paragraph">
              <wp:posOffset>88900</wp:posOffset>
            </wp:positionV>
            <wp:extent cx="1511935" cy="292735"/>
            <wp:wrapTopAndBottom/>
            <wp:docPr id="6" name="Shape 6"/>
            <a:graphic xmlns:a="http://schemas.openxmlformats.org/drawingml/2006/main">
              <a:graphicData uri="http://schemas.openxmlformats.org/drawingml/2006/picture">
                <pic:pic xmlns:pic="http://schemas.openxmlformats.org/drawingml/2006/picture">
                  <pic:nvPicPr>
                    <pic:cNvPr id="7" name="Picture box 7"/>
                    <pic:cNvPicPr/>
                  </pic:nvPicPr>
                  <pic:blipFill>
                    <a:blip r:embed="rId11"/>
                    <a:stretch/>
                  </pic:blipFill>
                  <pic:spPr>
                    <a:xfrm>
                      <a:ext cx="1511935" cy="292735"/>
                    </a:xfrm>
                    <a:prstGeom prst="rect"/>
                  </pic:spPr>
                </pic:pic>
              </a:graphicData>
            </a:graphic>
          </wp:anchor>
        </w:drawing>
      </w:r>
    </w:p>
    <w:p>
      <w:pPr>
        <w:pStyle w:val="Style11"/>
        <w:keepNext w:val="0"/>
        <w:keepLines w:val="0"/>
        <w:widowControl w:val="0"/>
        <w:shd w:val="clear" w:color="auto" w:fill="auto"/>
        <w:bidi w:val="0"/>
        <w:spacing w:before="0" w:after="280" w:line="240" w:lineRule="auto"/>
        <w:ind w:left="0" w:right="0" w:firstLine="0"/>
        <w:jc w:val="both"/>
      </w:pPr>
      <w:r>
        <w:rPr>
          <w:rStyle w:val="CharStyle12"/>
        </w:rPr>
        <w:t xml:space="preserve">генераторных установок в течение </w:t>
      </w:r>
      <w:r>
        <w:rPr>
          <w:rStyle w:val="CharStyle12"/>
          <w:lang w:val="en-US" w:eastAsia="en-US"/>
        </w:rPr>
        <w:t xml:space="preserve">1000 </w:t>
      </w:r>
      <w:r>
        <w:rPr>
          <w:rStyle w:val="CharStyle12"/>
        </w:rPr>
        <w:t xml:space="preserve">календарных дней (Закупка </w:t>
      </w:r>
      <w:r>
        <w:rPr>
          <w:rStyle w:val="CharStyle12"/>
          <w:lang w:val="en-US" w:eastAsia="en-US"/>
        </w:rPr>
        <w:t xml:space="preserve">№ 0373200082126000108) </w:t>
      </w:r>
      <w:r>
        <w:rPr>
          <w:rStyle w:val="CharStyle12"/>
        </w:rPr>
        <w:t xml:space="preserve">(далее </w:t>
      </w:r>
      <w:r>
        <w:rPr>
          <w:rStyle w:val="CharStyle12"/>
          <w:lang w:val="en-US" w:eastAsia="en-US"/>
        </w:rPr>
        <w:t xml:space="preserve">— </w:t>
      </w:r>
      <w:r>
        <w:rPr>
          <w:rStyle w:val="CharStyle12"/>
        </w:rPr>
        <w:t xml:space="preserve">аукцион), в соответствии с Федеральным законом от </w:t>
      </w:r>
      <w:r>
        <w:rPr>
          <w:rStyle w:val="CharStyle12"/>
          <w:lang w:val="en-US" w:eastAsia="en-US"/>
        </w:rPr>
        <w:t xml:space="preserve">05.04.2013 № </w:t>
      </w:r>
      <w:r>
        <w:rPr>
          <w:rStyle w:val="CharStyle12"/>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Закон о контрактной системе),</w:t>
      </w:r>
    </w:p>
    <w:p>
      <w:pPr>
        <w:pStyle w:val="Style11"/>
        <w:keepNext w:val="0"/>
        <w:keepLines w:val="0"/>
        <w:widowControl w:val="0"/>
        <w:shd w:val="clear" w:color="auto" w:fill="auto"/>
        <w:bidi w:val="0"/>
        <w:spacing w:before="0" w:after="280" w:line="240" w:lineRule="auto"/>
        <w:ind w:left="0" w:right="0" w:firstLine="0"/>
        <w:jc w:val="center"/>
      </w:pPr>
      <w:r>
        <w:rPr>
          <w:rStyle w:val="CharStyle12"/>
          <w:b/>
          <w:bCs/>
        </w:rPr>
        <w:t>УСТАНОВИЛА:</w:t>
      </w:r>
    </w:p>
    <w:p>
      <w:pPr>
        <w:pStyle w:val="Style11"/>
        <w:keepNext w:val="0"/>
        <w:keepLines w:val="0"/>
        <w:widowControl w:val="0"/>
        <w:shd w:val="clear" w:color="auto" w:fill="auto"/>
        <w:bidi w:val="0"/>
        <w:spacing w:before="0" w:after="0" w:line="240" w:lineRule="auto"/>
        <w:ind w:left="0" w:right="0" w:firstLine="740"/>
        <w:jc w:val="both"/>
      </w:pPr>
      <w:r>
        <w:rPr>
          <w:rStyle w:val="CharStyle12"/>
        </w:rPr>
        <w:t>В Московское УФАС России поступила жалоба Заявителя на действия Заказчика при проведении электронного аукциона.</w:t>
      </w:r>
    </w:p>
    <w:p>
      <w:pPr>
        <w:pStyle w:val="Style11"/>
        <w:keepNext w:val="0"/>
        <w:keepLines w:val="0"/>
        <w:widowControl w:val="0"/>
        <w:shd w:val="clear" w:color="auto" w:fill="auto"/>
        <w:bidi w:val="0"/>
        <w:spacing w:before="0" w:after="0" w:line="240" w:lineRule="auto"/>
        <w:ind w:left="0" w:right="0" w:firstLine="740"/>
        <w:jc w:val="both"/>
      </w:pPr>
      <w:r>
        <w:rPr>
          <w:rStyle w:val="CharStyle12"/>
        </w:rPr>
        <w:t>По результатам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Согласно доводам жалобы Заказчиком неправомерно размещен протокол признания участника уклонившимся от заключения контракта от </w:t>
      </w:r>
      <w:r>
        <w:rPr>
          <w:rStyle w:val="CharStyle12"/>
          <w:lang w:val="en-US" w:eastAsia="en-US"/>
        </w:rPr>
        <w:t xml:space="preserve">27.04.2026 </w:t>
      </w:r>
      <w:r>
        <w:rPr>
          <w:rStyle w:val="CharStyle12"/>
        </w:rPr>
        <w:t>№ППУ20_1</w:t>
      </w:r>
      <w:r>
        <w:rPr>
          <w:rStyle w:val="CharStyle12"/>
          <w:i/>
          <w:iCs/>
        </w:rPr>
        <w:t>,</w:t>
      </w:r>
      <w:r>
        <w:rPr>
          <w:rStyle w:val="CharStyle12"/>
        </w:rPr>
        <w:t xml:space="preserve"> в связи с предоставлением в качестве обеспечения исполнения контракта независимой гарантии, не соответствующей требованиям извещения: </w:t>
      </w:r>
      <w:r>
        <w:rPr>
          <w:rStyle w:val="CharStyle12"/>
          <w:i/>
          <w:iCs/>
        </w:rPr>
        <w:t xml:space="preserve">«Согласно п. </w:t>
      </w:r>
      <w:r>
        <w:rPr>
          <w:rStyle w:val="CharStyle12"/>
          <w:i/>
          <w:iCs/>
          <w:lang w:val="en-US" w:eastAsia="en-US"/>
        </w:rPr>
        <w:t xml:space="preserve">16 </w:t>
      </w:r>
      <w:r>
        <w:rPr>
          <w:rStyle w:val="CharStyle12"/>
          <w:i/>
          <w:iCs/>
        </w:rPr>
        <w:t>гарантии «Настоящая независимая гарантия вступает в силу, обязанности по договору предоставления настоящей независимой гарантии подлежат исполнению со дня заключения контракта, для обеспечения исполнения которого выдана настоящая независимая гарантия».</w:t>
      </w:r>
    </w:p>
    <w:p>
      <w:pPr>
        <w:pStyle w:val="Style11"/>
        <w:keepNext w:val="0"/>
        <w:keepLines w:val="0"/>
        <w:widowControl w:val="0"/>
        <w:shd w:val="clear" w:color="auto" w:fill="auto"/>
        <w:bidi w:val="0"/>
        <w:spacing w:before="0" w:after="0" w:line="240" w:lineRule="auto"/>
        <w:ind w:left="0" w:right="0" w:firstLine="740"/>
        <w:jc w:val="both"/>
      </w:pPr>
      <w:r>
        <w:rPr>
          <w:rStyle w:val="CharStyle12"/>
          <w:i/>
          <w:iCs/>
        </w:rPr>
        <w:t xml:space="preserve">При этом в поле «Срок вступления независимой гарантии в силу» указано «с даты её выдачи», что противоречит п. </w:t>
      </w:r>
      <w:r>
        <w:rPr>
          <w:rStyle w:val="CharStyle12"/>
          <w:i/>
          <w:iCs/>
          <w:lang w:val="en-US" w:eastAsia="en-US"/>
        </w:rPr>
        <w:t xml:space="preserve">16 </w:t>
      </w:r>
      <w:r>
        <w:rPr>
          <w:rStyle w:val="CharStyle12"/>
          <w:i/>
          <w:iCs/>
        </w:rPr>
        <w:t xml:space="preserve">типовой формы независимой гарантии, предоставляемой в качестве обеспечения исполнения контракта, утвержденной ПП </w:t>
      </w:r>
      <w:r>
        <w:rPr>
          <w:rStyle w:val="CharStyle12"/>
          <w:i/>
          <w:iCs/>
          <w:lang w:val="en-US" w:eastAsia="en-US"/>
        </w:rPr>
        <w:t xml:space="preserve">1005, </w:t>
      </w:r>
      <w:r>
        <w:rPr>
          <w:rStyle w:val="CharStyle12"/>
          <w:i/>
          <w:iCs/>
        </w:rPr>
        <w:t xml:space="preserve">и п. </w:t>
      </w:r>
      <w:r>
        <w:rPr>
          <w:rStyle w:val="CharStyle12"/>
          <w:i/>
          <w:iCs/>
          <w:lang w:val="en-US" w:eastAsia="en-US"/>
        </w:rPr>
        <w:t xml:space="preserve">16 </w:t>
      </w:r>
      <w:r>
        <w:rPr>
          <w:rStyle w:val="CharStyle12"/>
          <w:i/>
          <w:iCs/>
        </w:rPr>
        <w:t>предоставленной гарантии»</w:t>
      </w:r>
      <w:r>
        <w:rPr>
          <w:rStyle w:val="CharStyle12"/>
        </w:rPr>
        <w:t>.</w:t>
      </w:r>
    </w:p>
    <w:p>
      <w:pPr>
        <w:pStyle w:val="Style11"/>
        <w:keepNext w:val="0"/>
        <w:keepLines w:val="0"/>
        <w:widowControl w:val="0"/>
        <w:shd w:val="clear" w:color="auto" w:fill="auto"/>
        <w:bidi w:val="0"/>
        <w:spacing w:before="0" w:after="0" w:line="240" w:lineRule="auto"/>
        <w:ind w:left="0" w:right="0" w:firstLine="740"/>
        <w:jc w:val="both"/>
      </w:pPr>
      <w:r>
        <w:rPr>
          <w:rStyle w:val="CharStyle12"/>
        </w:rPr>
        <w:t>Согласно протоколу подведения итогов определения поставщика (подрядчика, исполнителя) от</w:t>
      </w:r>
      <w:r>
        <w:fldChar w:fldCharType="begin"/>
      </w:r>
      <w:r>
        <w:rPr/>
        <w:instrText> HYPERLINK "https://zakupki.gov.ru/epz/order/notice/ea20/view/protocol/protocol-main-info.html?regNumber=0373200082126000108&amp;protocolId=52090888" </w:instrText>
      </w:r>
      <w:r>
        <w:fldChar w:fldCharType="separate"/>
      </w:r>
      <w:r>
        <w:rPr>
          <w:rStyle w:val="CharStyle12"/>
        </w:rPr>
        <w:t xml:space="preserve"> </w:t>
      </w:r>
      <w:r>
        <w:rPr>
          <w:rStyle w:val="CharStyle12"/>
          <w:lang w:val="en-US" w:eastAsia="en-US"/>
        </w:rPr>
        <w:t xml:space="preserve">16.04.2026 </w:t>
      </w:r>
      <w:r>
        <w:rPr>
          <w:rStyle w:val="CharStyle12"/>
        </w:rPr>
        <w:t xml:space="preserve">№ИЭА1 </w:t>
      </w:r>
      <w:r>
        <w:fldChar w:fldCharType="end"/>
      </w:r>
      <w:r>
        <w:rPr>
          <w:rStyle w:val="CharStyle12"/>
        </w:rPr>
        <w:t xml:space="preserve">Заявитель с идентификационным номером заявки </w:t>
      </w:r>
      <w:r>
        <w:rPr>
          <w:rStyle w:val="CharStyle12"/>
          <w:lang w:val="en-US" w:eastAsia="en-US"/>
        </w:rPr>
        <w:t xml:space="preserve">3088380 </w:t>
      </w:r>
      <w:r>
        <w:rPr>
          <w:rStyle w:val="CharStyle12"/>
        </w:rPr>
        <w:t xml:space="preserve">признан победителем электронного аукциона (далее также </w:t>
      </w:r>
      <w:r>
        <w:rPr>
          <w:rStyle w:val="CharStyle12"/>
          <w:lang w:val="en-US" w:eastAsia="en-US"/>
        </w:rPr>
        <w:t xml:space="preserve">— </w:t>
      </w:r>
      <w:r>
        <w:rPr>
          <w:rStyle w:val="CharStyle12"/>
        </w:rPr>
        <w:t>Победитель).</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На основании ч.1 ст.51 Закона о контрактной системе по результатам электронной процедуры контракт заключается с победителем определения поставщика (подрядчика, исполнителя), а в случаях, предусмотренных Законом о контрактной системе, с иным участником закупки (далее </w:t>
      </w:r>
      <w:r>
        <w:rPr>
          <w:rStyle w:val="CharStyle12"/>
          <w:lang w:val="en-US" w:eastAsia="en-US"/>
        </w:rPr>
        <w:t xml:space="preserve">- </w:t>
      </w:r>
      <w:r>
        <w:rPr>
          <w:rStyle w:val="CharStyle12"/>
        </w:rPr>
        <w:t>участник закупки, с которым заключается контракт) не ранее чем через десять дней (если Законом о контрактной системе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пп.«а» п.2 ч.6 ст.51 Закона о контрактной системе, после предоставления участником закупки, с которым заключается контракт, обеспечения исполнения контракта в соответствии с требованиями Закона о контрактной системе (если требование обеспечения исполнения контракта установлено в извещении об осуществлении закупки). Участники закупки, заявки которых не отозваны в соответствии с Законом о контрактной системе, обязаны подписать контракт в порядке, установленном ст.51 Закона о контрактной системе.</w:t>
      </w:r>
    </w:p>
    <w:p>
      <w:pPr>
        <w:pStyle w:val="Style11"/>
        <w:keepNext w:val="0"/>
        <w:keepLines w:val="0"/>
        <w:widowControl w:val="0"/>
        <w:shd w:val="clear" w:color="auto" w:fill="auto"/>
        <w:bidi w:val="0"/>
        <w:spacing w:before="0" w:after="280" w:line="348" w:lineRule="auto"/>
        <w:ind w:left="0" w:right="0" w:firstLine="740"/>
        <w:jc w:val="both"/>
        <w:rPr>
          <w:sz w:val="24"/>
          <w:szCs w:val="24"/>
        </w:rPr>
        <w:sectPr>
          <w:footnotePr>
            <w:pos w:val="pageBottom"/>
            <w:numFmt w:val="decimal"/>
            <w:numRestart w:val="continuous"/>
          </w:footnotePr>
          <w:type w:val="continuous"/>
          <w:pgSz w:w="11900" w:h="16840"/>
          <w:pgMar w:top="587" w:right="540" w:bottom="615" w:left="1098" w:header="0" w:footer="3" w:gutter="0"/>
          <w:cols w:space="720"/>
          <w:noEndnote/>
          <w:rtlGutter w:val="0"/>
          <w:docGrid w:linePitch="360"/>
        </w:sectPr>
      </w:pPr>
      <w:r>
        <w:rPr>
          <w:rStyle w:val="CharStyle12"/>
        </w:rPr>
        <w:t xml:space="preserve">Согласно п.1 ч.2 ст.51 Закона о контрактной системе не позднее двух рабочих </w:t>
      </w:r>
      <w:r>
        <w:rPr>
          <w:rStyle w:val="CharStyle12"/>
          <w:sz w:val="24"/>
          <w:szCs w:val="24"/>
          <w:lang w:val="en-US" w:eastAsia="en-US"/>
        </w:rPr>
        <w:t>2026-22933</w:t>
      </w:r>
    </w:p>
    <w:p>
      <w:pPr>
        <w:pStyle w:val="Style11"/>
        <w:keepNext w:val="0"/>
        <w:keepLines w:val="0"/>
        <w:widowControl w:val="0"/>
        <w:shd w:val="clear" w:color="auto" w:fill="auto"/>
        <w:bidi w:val="0"/>
        <w:spacing w:before="0" w:after="0" w:line="240" w:lineRule="auto"/>
        <w:ind w:left="0" w:right="0" w:firstLine="0"/>
        <w:jc w:val="both"/>
      </w:pPr>
      <w:r>
        <w:rPr>
          <w:rStyle w:val="CharStyle12"/>
        </w:rPr>
        <w:t>дней, следующих за днем размещения в единой информационной системе протоколов, указанных в ч.1 ст.51 Закона о контрактной системе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На заседании Комиссии Управления установлено, что Заказчиком в срок, предусмотренный п.1 ч.2 ст.51 Закона о контрактной системе в адрес Заявителя направлен на подписание проект государственного контракта.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Согласно пп. «а» п. </w:t>
      </w:r>
      <w:r>
        <w:rPr>
          <w:rStyle w:val="CharStyle12"/>
          <w:lang w:val="en-US" w:eastAsia="en-US"/>
        </w:rPr>
        <w:t xml:space="preserve">1 </w:t>
      </w:r>
      <w:r>
        <w:rPr>
          <w:rStyle w:val="CharStyle12"/>
        </w:rPr>
        <w:t xml:space="preserve">ч. </w:t>
      </w:r>
      <w:r>
        <w:rPr>
          <w:rStyle w:val="CharStyle12"/>
          <w:lang w:val="en-US" w:eastAsia="en-US"/>
        </w:rPr>
        <w:t xml:space="preserve">3 </w:t>
      </w:r>
      <w:r>
        <w:rPr>
          <w:rStyle w:val="CharStyle12"/>
        </w:rPr>
        <w:t xml:space="preserve">ст. </w:t>
      </w:r>
      <w:r>
        <w:rPr>
          <w:rStyle w:val="CharStyle12"/>
          <w:lang w:val="en-US" w:eastAsia="en-US"/>
        </w:rPr>
        <w:t xml:space="preserve">51 </w:t>
      </w:r>
      <w:r>
        <w:rPr>
          <w:rStyle w:val="CharStyle12"/>
        </w:rPr>
        <w:t xml:space="preserve">Закона о контрактной системе не позднее пяти рабочих дней, следующих за днем размещения заказчиком в соответствии с ч.2 ст. </w:t>
      </w:r>
      <w:r>
        <w:rPr>
          <w:rStyle w:val="CharStyle12"/>
          <w:lang w:val="en-US" w:eastAsia="en-US"/>
        </w:rPr>
        <w:t xml:space="preserve">51 </w:t>
      </w:r>
      <w:r>
        <w:rPr>
          <w:rStyle w:val="CharStyle12"/>
        </w:rPr>
        <w:t>Закона о контрактной системе проекта контракта, участник закупки, с которым заключается контракт, подписывает усиленной электронной подписью лица, имеющего право действовать от имени участника закупки, проект контракта и одновременно размещает на электронной площадке и в единой информационной системе (с использованием электронной площадки, без размещения на официальном сайте) подписанный проект контракта, а также документ, подтверждающий предоставление обеспечения исполнения контракта в соответствии с Законом о контрактной системе (за исключением случаев, предусмотренных Законом о контрактной системе).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В соответствии с ч.4 ст.96 Закона о контрактной системе контракт заключается после предоставления участником закупки, с которым заключается контракт, обеспечения исполнения контракта.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Ч.3 ст.96 Закона о контрактной системе регламентировано, что исполнение контракта, гарантийные обязательства могут обеспечиваться предоставлением независимой гарантии, соответствующей требованиям ст.45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Закона о контрактной системе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ст.95 Закона о контрактной системе.</w:t>
      </w:r>
    </w:p>
    <w:p>
      <w:pPr>
        <w:pStyle w:val="Style11"/>
        <w:keepNext w:val="0"/>
        <w:keepLines w:val="0"/>
        <w:widowControl w:val="0"/>
        <w:shd w:val="clear" w:color="auto" w:fill="auto"/>
        <w:bidi w:val="0"/>
        <w:spacing w:before="0" w:after="0" w:line="240" w:lineRule="auto"/>
        <w:ind w:left="0" w:right="0" w:firstLine="720"/>
        <w:jc w:val="both"/>
      </w:pPr>
      <w:r>
        <w:rPr>
          <w:rStyle w:val="CharStyle12"/>
          <w:lang w:val="en-US" w:eastAsia="en-US"/>
        </w:rPr>
        <w:t xml:space="preserve">24.04.2026 </w:t>
      </w:r>
      <w:r>
        <w:rPr>
          <w:rStyle w:val="CharStyle12"/>
        </w:rPr>
        <w:t xml:space="preserve">Заявителем размещен подписанный проект контракта, а также приложен документ, подтверждающий предоставление обеспечения исполнения контракта в соответствии с Законом о контрактной системе в виде независимой гарантии </w:t>
      </w:r>
      <w:r>
        <w:rPr>
          <w:rStyle w:val="CharStyle12"/>
          <w:lang w:val="en-US" w:eastAsia="en-US"/>
        </w:rPr>
        <w:t xml:space="preserve">№2615205 </w:t>
      </w:r>
      <w:r>
        <w:rPr>
          <w:rStyle w:val="CharStyle12"/>
        </w:rPr>
        <w:t xml:space="preserve">от </w:t>
      </w:r>
      <w:r>
        <w:rPr>
          <w:rStyle w:val="CharStyle12"/>
          <w:lang w:val="en-US" w:eastAsia="en-US"/>
        </w:rPr>
        <w:t xml:space="preserve">24.04.2026, </w:t>
      </w:r>
      <w:r>
        <w:rPr>
          <w:rStyle w:val="CharStyle12"/>
        </w:rPr>
        <w:t xml:space="preserve">выданная ПАО «ТРАНСКАПИТАЛБАНК» (далее </w:t>
      </w:r>
      <w:r>
        <w:rPr>
          <w:rStyle w:val="CharStyle12"/>
          <w:lang w:val="en-US" w:eastAsia="en-US"/>
        </w:rPr>
        <w:t xml:space="preserve">– </w:t>
      </w:r>
      <w:r>
        <w:rPr>
          <w:rStyle w:val="CharStyle12"/>
        </w:rPr>
        <w:t>независимая гарантия).</w:t>
      </w:r>
    </w:p>
    <w:p>
      <w:pPr>
        <w:pStyle w:val="Style11"/>
        <w:keepNext w:val="0"/>
        <w:keepLines w:val="0"/>
        <w:widowControl w:val="0"/>
        <w:shd w:val="clear" w:color="auto" w:fill="auto"/>
        <w:bidi w:val="0"/>
        <w:spacing w:before="0" w:after="0" w:line="240" w:lineRule="auto"/>
        <w:ind w:left="0" w:right="0" w:firstLine="720"/>
        <w:jc w:val="both"/>
        <w:sectPr>
          <w:headerReference w:type="default" r:id="rId13"/>
          <w:footerReference w:type="default" r:id="rId14"/>
          <w:footnotePr>
            <w:pos w:val="pageBottom"/>
            <w:numFmt w:val="decimal"/>
            <w:numRestart w:val="continuous"/>
          </w:footnotePr>
          <w:pgSz w:w="11900" w:h="16840"/>
          <w:pgMar w:top="1162" w:right="550" w:bottom="1114" w:left="1106" w:header="0" w:footer="3" w:gutter="0"/>
          <w:cols w:space="720"/>
          <w:noEndnote/>
          <w:rtlGutter w:val="0"/>
          <w:docGrid w:linePitch="360"/>
        </w:sectPr>
      </w:pPr>
      <w:r>
        <w:rPr>
          <w:rStyle w:val="CharStyle12"/>
        </w:rPr>
        <w:t>Согласно ч.6 ст.51 Закона о контрактной системе в случае, если участником закупки, с которым заключается контракт, не выполнены требования, предусмотренные ч.3 ст.51 Закона о контрактной системе (за исключением случая, предусмотренного п.3 ч.3 ст.51 Закона о контрактной системе, а также случая, если</w:t>
      </w:r>
    </w:p>
    <w:p>
      <w:pPr>
        <w:pStyle w:val="Style11"/>
        <w:keepNext w:val="0"/>
        <w:keepLines w:val="0"/>
        <w:widowControl w:val="0"/>
        <w:shd w:val="clear" w:color="auto" w:fill="auto"/>
        <w:bidi w:val="0"/>
        <w:spacing w:before="0" w:after="0" w:line="240" w:lineRule="auto"/>
        <w:ind w:left="0" w:right="0" w:firstLine="0"/>
        <w:jc w:val="both"/>
      </w:pPr>
      <w:r>
        <w:rPr>
          <w:rStyle w:val="CharStyle12"/>
        </w:rPr>
        <w:t>таким участником закупки в срок, установленный ч.3 ст.51 Закона о контрактной системе, не выполнены требования п.3 ч.3 ст.51 Закона о контрактной системе) и ч.5 ст.51 Закона о контрактной системе:</w:t>
      </w:r>
    </w:p>
    <w:p>
      <w:pPr>
        <w:pStyle w:val="Style11"/>
        <w:keepNext w:val="0"/>
        <w:keepLines w:val="0"/>
        <w:widowControl w:val="0"/>
        <w:numPr>
          <w:ilvl w:val="0"/>
          <w:numId w:val="1"/>
        </w:numPr>
        <w:shd w:val="clear" w:color="auto" w:fill="auto"/>
        <w:tabs>
          <w:tab w:pos="1094" w:val="left"/>
        </w:tabs>
        <w:bidi w:val="0"/>
        <w:spacing w:before="0" w:after="0" w:line="240" w:lineRule="auto"/>
        <w:ind w:left="0" w:right="0" w:firstLine="700"/>
        <w:jc w:val="both"/>
      </w:pPr>
      <w:r>
        <w:rPr>
          <w:rStyle w:val="CharStyle12"/>
        </w:rPr>
        <w:t>такой участник закупки считается уклонившимся от заключения контракта;</w:t>
      </w:r>
    </w:p>
    <w:p>
      <w:pPr>
        <w:pStyle w:val="Style11"/>
        <w:keepNext w:val="0"/>
        <w:keepLines w:val="0"/>
        <w:widowControl w:val="0"/>
        <w:numPr>
          <w:ilvl w:val="0"/>
          <w:numId w:val="1"/>
        </w:numPr>
        <w:shd w:val="clear" w:color="auto" w:fill="auto"/>
        <w:tabs>
          <w:tab w:pos="1105" w:val="left"/>
        </w:tabs>
        <w:bidi w:val="0"/>
        <w:spacing w:before="0" w:after="0" w:line="240" w:lineRule="auto"/>
        <w:ind w:left="0" w:right="0" w:firstLine="700"/>
        <w:jc w:val="both"/>
      </w:pPr>
      <w:r>
        <w:rPr>
          <w:rStyle w:val="CharStyle12"/>
        </w:rPr>
        <w:t xml:space="preserve">заказчик не позднее одного рабочего дня, следующего за днем истечения срока выполнения участником закупки требований, предусмотренных ч.3 и </w:t>
      </w:r>
      <w:r>
        <w:rPr>
          <w:rStyle w:val="CharStyle12"/>
          <w:lang w:val="en-US" w:eastAsia="en-US"/>
        </w:rPr>
        <w:t xml:space="preserve">5 </w:t>
      </w:r>
      <w:r>
        <w:rPr>
          <w:rStyle w:val="CharStyle12"/>
        </w:rPr>
        <w:t>ст.51 Закона о контрактной системе:</w:t>
      </w:r>
    </w:p>
    <w:p>
      <w:pPr>
        <w:pStyle w:val="Style11"/>
        <w:keepNext w:val="0"/>
        <w:keepLines w:val="0"/>
        <w:widowControl w:val="0"/>
        <w:numPr>
          <w:ilvl w:val="0"/>
          <w:numId w:val="3"/>
        </w:numPr>
        <w:shd w:val="clear" w:color="auto" w:fill="auto"/>
        <w:tabs>
          <w:tab w:pos="1097" w:val="left"/>
        </w:tabs>
        <w:bidi w:val="0"/>
        <w:spacing w:before="0" w:after="0" w:line="240" w:lineRule="auto"/>
        <w:ind w:left="0" w:right="0" w:firstLine="700"/>
        <w:jc w:val="both"/>
      </w:pPr>
      <w:r>
        <w:rPr>
          <w:rStyle w:val="CharStyle12"/>
        </w:rPr>
        <w:t>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выполненные участником закупки;</w:t>
      </w:r>
    </w:p>
    <w:p>
      <w:pPr>
        <w:pStyle w:val="Style11"/>
        <w:keepNext w:val="0"/>
        <w:keepLines w:val="0"/>
        <w:widowControl w:val="0"/>
        <w:numPr>
          <w:ilvl w:val="0"/>
          <w:numId w:val="3"/>
        </w:numPr>
        <w:shd w:val="clear" w:color="auto" w:fill="auto"/>
        <w:tabs>
          <w:tab w:pos="1097" w:val="left"/>
        </w:tabs>
        <w:bidi w:val="0"/>
        <w:spacing w:before="0" w:after="0" w:line="240" w:lineRule="auto"/>
        <w:ind w:left="0" w:right="0" w:firstLine="700"/>
        <w:jc w:val="both"/>
      </w:pPr>
      <w:r>
        <w:rPr>
          <w:rStyle w:val="CharStyle12"/>
        </w:rPr>
        <w:t>формирует и направляет в соответствии с порядком, предусмотренным ч.10 ст.104 Закона о контрактной системе, в день размещения в единой информационной системе протокола, предусмотренного пп.«а» п.2 ч.6 ст.51 Закона о контрактной системе, обращение о включении информации об участнике закупки в реестр недобросовестных поставщиков (подрядчиков, исполнителей);</w:t>
      </w:r>
    </w:p>
    <w:p>
      <w:pPr>
        <w:pStyle w:val="Style11"/>
        <w:keepNext w:val="0"/>
        <w:keepLines w:val="0"/>
        <w:widowControl w:val="0"/>
        <w:numPr>
          <w:ilvl w:val="0"/>
          <w:numId w:val="5"/>
        </w:numPr>
        <w:shd w:val="clear" w:color="auto" w:fill="auto"/>
        <w:tabs>
          <w:tab w:pos="1097" w:val="left"/>
        </w:tabs>
        <w:bidi w:val="0"/>
        <w:spacing w:before="0" w:after="0" w:line="240" w:lineRule="auto"/>
        <w:ind w:left="0" w:right="0" w:firstLine="700"/>
        <w:jc w:val="both"/>
      </w:pPr>
      <w:r>
        <w:rPr>
          <w:rStyle w:val="CharStyle12"/>
        </w:rPr>
        <w:t>оператор электронной площадки не позднее одного часа с момента размещения в соответствии с пп.«а» п.2 ч.6 ст.51 Закона о контрактной системе протокола об уклонении участника закупки от заключения контракта направляет такому участнику закупки уведомление о таком размещении.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 силу п.1 ч.1 ст.45 Закона о контрактной системе заказчики в качестве обеспечения заявок, исполнения контрактов, гарантийных обязательств принимают независимые гарантии, выданные банками, соответствующими требованиям, установленным Правительством Российской Федерации, и включенными в перечень, предусмотренный ч.1.2 ст.45 Закона о контрактной системы.</w:t>
      </w:r>
    </w:p>
    <w:p>
      <w:pPr>
        <w:pStyle w:val="Style11"/>
        <w:keepNext w:val="0"/>
        <w:keepLines w:val="0"/>
        <w:widowControl w:val="0"/>
        <w:numPr>
          <w:ilvl w:val="0"/>
          <w:numId w:val="5"/>
        </w:numPr>
        <w:shd w:val="clear" w:color="auto" w:fill="auto"/>
        <w:tabs>
          <w:tab w:pos="1097" w:val="left"/>
        </w:tabs>
        <w:bidi w:val="0"/>
        <w:spacing w:before="0" w:after="0" w:line="240" w:lineRule="auto"/>
        <w:ind w:left="0" w:right="0" w:firstLine="700"/>
        <w:jc w:val="both"/>
      </w:pPr>
      <w:r>
        <w:rPr>
          <w:rStyle w:val="CharStyle12"/>
        </w:rPr>
        <w:t xml:space="preserve">2 ст. </w:t>
      </w:r>
      <w:r>
        <w:rPr>
          <w:rStyle w:val="CharStyle12"/>
          <w:lang w:val="en-US" w:eastAsia="en-US"/>
        </w:rPr>
        <w:t xml:space="preserve">45 </w:t>
      </w:r>
      <w:r>
        <w:rPr>
          <w:rStyle w:val="CharStyle12"/>
        </w:rPr>
        <w:t>Закона о контрактной системе установлен перечень информации, которую должна содержать независимая гарантия.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ч.6 ст.45 Закона о контрактной системе основанием для отказа в принятии независимой гарантии заказчиком является:</w:t>
      </w:r>
    </w:p>
    <w:p>
      <w:pPr>
        <w:pStyle w:val="Style11"/>
        <w:keepNext w:val="0"/>
        <w:keepLines w:val="0"/>
        <w:widowControl w:val="0"/>
        <w:numPr>
          <w:ilvl w:val="0"/>
          <w:numId w:val="7"/>
        </w:numPr>
        <w:shd w:val="clear" w:color="auto" w:fill="auto"/>
        <w:tabs>
          <w:tab w:pos="1097" w:val="left"/>
        </w:tabs>
        <w:bidi w:val="0"/>
        <w:spacing w:before="0" w:after="0" w:line="240" w:lineRule="auto"/>
        <w:ind w:left="0" w:right="0" w:firstLine="700"/>
        <w:jc w:val="both"/>
      </w:pPr>
      <w:r>
        <w:rPr>
          <w:rStyle w:val="CharStyle12"/>
        </w:rPr>
        <w:t>отсутствие информации о независимой гарантии в предусмотренных ст.45 Закона о контрактной системе реестрах независимых гарантий;</w:t>
      </w:r>
    </w:p>
    <w:p>
      <w:pPr>
        <w:pStyle w:val="Style11"/>
        <w:keepNext w:val="0"/>
        <w:keepLines w:val="0"/>
        <w:widowControl w:val="0"/>
        <w:numPr>
          <w:ilvl w:val="0"/>
          <w:numId w:val="7"/>
        </w:numPr>
        <w:shd w:val="clear" w:color="auto" w:fill="auto"/>
        <w:tabs>
          <w:tab w:pos="1097" w:val="left"/>
        </w:tabs>
        <w:bidi w:val="0"/>
        <w:spacing w:before="0" w:after="0" w:line="240" w:lineRule="auto"/>
        <w:ind w:left="0" w:right="0" w:firstLine="700"/>
        <w:jc w:val="both"/>
      </w:pPr>
      <w:r>
        <w:rPr>
          <w:rStyle w:val="CharStyle12"/>
        </w:rPr>
        <w:t xml:space="preserve">несоответствие независимой гарантии требованиям, предусмотренным ч.2, </w:t>
      </w:r>
      <w:r>
        <w:rPr>
          <w:rStyle w:val="CharStyle12"/>
          <w:lang w:val="en-US" w:eastAsia="en-US"/>
        </w:rPr>
        <w:t xml:space="preserve">3 </w:t>
      </w:r>
      <w:r>
        <w:rPr>
          <w:rStyle w:val="CharStyle12"/>
        </w:rPr>
        <w:t xml:space="preserve">и </w:t>
      </w:r>
      <w:r>
        <w:rPr>
          <w:rStyle w:val="CharStyle12"/>
          <w:lang w:val="en-US" w:eastAsia="en-US"/>
        </w:rPr>
        <w:t xml:space="preserve">8.2 </w:t>
      </w:r>
      <w:r>
        <w:rPr>
          <w:rStyle w:val="CharStyle12"/>
        </w:rPr>
        <w:t>ст.45 Закона о контрактной системе;</w:t>
      </w:r>
    </w:p>
    <w:p>
      <w:pPr>
        <w:pStyle w:val="Style11"/>
        <w:keepNext w:val="0"/>
        <w:keepLines w:val="0"/>
        <w:widowControl w:val="0"/>
        <w:numPr>
          <w:ilvl w:val="0"/>
          <w:numId w:val="7"/>
        </w:numPr>
        <w:shd w:val="clear" w:color="auto" w:fill="auto"/>
        <w:tabs>
          <w:tab w:pos="1097" w:val="left"/>
        </w:tabs>
        <w:bidi w:val="0"/>
        <w:spacing w:before="0" w:after="0" w:line="240" w:lineRule="auto"/>
        <w:ind w:left="0" w:right="0" w:firstLine="700"/>
        <w:jc w:val="both"/>
      </w:pPr>
      <w:r>
        <w:rPr>
          <w:rStyle w:val="CharStyle12"/>
        </w:rPr>
        <w:t>несоответствие независимой гарантии требованиям, содержащимся в извещении об осуществлении закупки, приглашении, документации о закупке (в случае, если Законом о контрактной системе предусмотрена документация о закупке), проекте контракта, который заключается с единственным поставщиком (подрядчиком, исполнителем).</w:t>
      </w:r>
    </w:p>
    <w:p>
      <w:pPr>
        <w:pStyle w:val="Style11"/>
        <w:keepNext w:val="0"/>
        <w:keepLines w:val="0"/>
        <w:widowControl w:val="0"/>
        <w:shd w:val="clear" w:color="auto" w:fill="auto"/>
        <w:bidi w:val="0"/>
        <w:spacing w:before="0" w:after="0" w:line="276" w:lineRule="auto"/>
        <w:ind w:left="0" w:right="0" w:firstLine="700"/>
        <w:jc w:val="both"/>
        <w:rPr>
          <w:sz w:val="24"/>
          <w:szCs w:val="24"/>
        </w:rPr>
      </w:pPr>
      <w:r>
        <w:rPr>
          <w:rStyle w:val="CharStyle12"/>
        </w:rPr>
        <w:t xml:space="preserve">В соответствии с ч.5 ст.96 Закона о контактной системе в случае непредставления участником закупки, с которым заключается контракт, обеспечения исполнения контракта в срок, установленный для заключения </w:t>
      </w:r>
      <w:r>
        <w:rPr>
          <w:rStyle w:val="CharStyle12"/>
          <w:sz w:val="24"/>
          <w:szCs w:val="24"/>
          <w:lang w:val="en-US" w:eastAsia="en-US"/>
        </w:rPr>
        <w:t>2026-22933</w:t>
      </w:r>
    </w:p>
    <w:p>
      <w:pPr>
        <w:pStyle w:val="Style11"/>
        <w:keepNext w:val="0"/>
        <w:keepLines w:val="0"/>
        <w:widowControl w:val="0"/>
        <w:shd w:val="clear" w:color="auto" w:fill="auto"/>
        <w:bidi w:val="0"/>
        <w:spacing w:before="0" w:after="0" w:line="240" w:lineRule="auto"/>
        <w:ind w:left="0" w:right="0" w:firstLine="0"/>
        <w:jc w:val="both"/>
      </w:pPr>
      <w:r>
        <w:rPr>
          <w:rStyle w:val="CharStyle12"/>
        </w:rPr>
        <w:t>контракта, такой участник считается уклонившимся от заключения контракта.</w:t>
      </w:r>
    </w:p>
    <w:p>
      <w:pPr>
        <w:pStyle w:val="Style11"/>
        <w:keepNext w:val="0"/>
        <w:keepLines w:val="0"/>
        <w:widowControl w:val="0"/>
        <w:shd w:val="clear" w:color="auto" w:fill="auto"/>
        <w:bidi w:val="0"/>
        <w:spacing w:before="0" w:after="0" w:line="240" w:lineRule="auto"/>
        <w:ind w:left="0" w:right="0" w:firstLine="640"/>
        <w:jc w:val="both"/>
      </w:pPr>
      <w:r>
        <w:rPr>
          <w:rStyle w:val="CharStyle12"/>
        </w:rPr>
        <w:t xml:space="preserve">В соответствии с п.1 Постановления Правительства Российской Федерации от </w:t>
      </w:r>
      <w:r>
        <w:rPr>
          <w:rStyle w:val="CharStyle12"/>
          <w:lang w:val="en-US" w:eastAsia="en-US"/>
        </w:rPr>
        <w:t xml:space="preserve">08.11.2013 № 1005 </w:t>
      </w:r>
      <w:r>
        <w:rPr>
          <w:rStyle w:val="CharStyle12"/>
        </w:rPr>
        <w:t xml:space="preserve">«О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 xml:space="preserve">Постановление </w:t>
      </w:r>
      <w:r>
        <w:rPr>
          <w:rStyle w:val="CharStyle12"/>
          <w:lang w:val="en-US" w:eastAsia="en-US"/>
        </w:rPr>
        <w:t xml:space="preserve">№ 1005) </w:t>
      </w:r>
      <w:r>
        <w:rPr>
          <w:rStyle w:val="CharStyle12"/>
        </w:rPr>
        <w:t>утверждены:</w:t>
      </w:r>
    </w:p>
    <w:p>
      <w:pPr>
        <w:pStyle w:val="Style11"/>
        <w:keepNext w:val="0"/>
        <w:keepLines w:val="0"/>
        <w:widowControl w:val="0"/>
        <w:numPr>
          <w:ilvl w:val="0"/>
          <w:numId w:val="9"/>
        </w:numPr>
        <w:shd w:val="clear" w:color="auto" w:fill="auto"/>
        <w:tabs>
          <w:tab w:pos="1416" w:val="left"/>
        </w:tabs>
        <w:bidi w:val="0"/>
        <w:spacing w:before="0" w:after="0" w:line="240" w:lineRule="auto"/>
        <w:ind w:left="0" w:right="0" w:firstLine="640"/>
        <w:jc w:val="both"/>
      </w:pPr>
      <w:r>
        <w:rPr>
          <w:rStyle w:val="CharStyle12"/>
        </w:rPr>
        <w:t>дополнительные требования к независимой гарантии, используемой для целей Закона о контрактной системы;</w:t>
      </w:r>
    </w:p>
    <w:p>
      <w:pPr>
        <w:pStyle w:val="Style11"/>
        <w:keepNext w:val="0"/>
        <w:keepLines w:val="0"/>
        <w:widowControl w:val="0"/>
        <w:numPr>
          <w:ilvl w:val="0"/>
          <w:numId w:val="9"/>
        </w:numPr>
        <w:shd w:val="clear" w:color="auto" w:fill="auto"/>
        <w:tabs>
          <w:tab w:pos="1416" w:val="left"/>
        </w:tabs>
        <w:bidi w:val="0"/>
        <w:spacing w:before="0" w:after="0" w:line="240" w:lineRule="auto"/>
        <w:ind w:left="0" w:right="0" w:firstLine="640"/>
        <w:jc w:val="both"/>
      </w:pPr>
      <w:r>
        <w:rPr>
          <w:rStyle w:val="CharStyle12"/>
        </w:rPr>
        <w:t>перечень документов, представляемых заказчиком гаранту одновременно с требованием об осуществлении уплаты денежной суммы по независимой гарантии, правила ведения и размещения в ЕИС реестра независимых гарантий;</w:t>
      </w:r>
    </w:p>
    <w:p>
      <w:pPr>
        <w:pStyle w:val="Style11"/>
        <w:keepNext w:val="0"/>
        <w:keepLines w:val="0"/>
        <w:widowControl w:val="0"/>
        <w:numPr>
          <w:ilvl w:val="0"/>
          <w:numId w:val="9"/>
        </w:numPr>
        <w:shd w:val="clear" w:color="auto" w:fill="auto"/>
        <w:tabs>
          <w:tab w:pos="1416" w:val="left"/>
        </w:tabs>
        <w:bidi w:val="0"/>
        <w:spacing w:before="0" w:after="0" w:line="240" w:lineRule="auto"/>
        <w:ind w:left="0" w:right="0" w:firstLine="640"/>
        <w:jc w:val="both"/>
      </w:pPr>
      <w:r>
        <w:rPr>
          <w:rStyle w:val="CharStyle12"/>
        </w:rPr>
        <w:t>форма требования об осуществлении уплаты денежной суммы по независимой гарантии;</w:t>
      </w:r>
    </w:p>
    <w:p>
      <w:pPr>
        <w:pStyle w:val="Style11"/>
        <w:keepNext w:val="0"/>
        <w:keepLines w:val="0"/>
        <w:widowControl w:val="0"/>
        <w:numPr>
          <w:ilvl w:val="0"/>
          <w:numId w:val="9"/>
        </w:numPr>
        <w:shd w:val="clear" w:color="auto" w:fill="auto"/>
        <w:tabs>
          <w:tab w:pos="1416" w:val="left"/>
        </w:tabs>
        <w:bidi w:val="0"/>
        <w:spacing w:before="0" w:after="0" w:line="240" w:lineRule="auto"/>
        <w:ind w:left="0" w:right="0" w:firstLine="640"/>
        <w:jc w:val="both"/>
      </w:pPr>
      <w:r>
        <w:rPr>
          <w:rStyle w:val="CharStyle12"/>
        </w:rPr>
        <w:t>правила формирования и ведения закрытого реестра независимых гарантий;</w:t>
      </w:r>
    </w:p>
    <w:p>
      <w:pPr>
        <w:pStyle w:val="Style11"/>
        <w:keepNext w:val="0"/>
        <w:keepLines w:val="0"/>
        <w:widowControl w:val="0"/>
        <w:numPr>
          <w:ilvl w:val="0"/>
          <w:numId w:val="9"/>
        </w:numPr>
        <w:shd w:val="clear" w:color="auto" w:fill="auto"/>
        <w:tabs>
          <w:tab w:pos="1416" w:val="left"/>
        </w:tabs>
        <w:bidi w:val="0"/>
        <w:spacing w:before="0" w:after="0" w:line="240" w:lineRule="auto"/>
        <w:ind w:left="0" w:right="0" w:firstLine="640"/>
        <w:jc w:val="both"/>
      </w:pPr>
      <w:r>
        <w:rPr>
          <w:rStyle w:val="CharStyle12"/>
        </w:rPr>
        <w:t xml:space="preserve">типовая форма независимой гарантии, предоставляемой в качестве обеспечения заявки на участие в закупке товара, работы, услуги для обеспечения государственных и муниципальных нужд (далее </w:t>
      </w:r>
      <w:r>
        <w:rPr>
          <w:rStyle w:val="CharStyle12"/>
          <w:lang w:val="en-US" w:eastAsia="en-US"/>
        </w:rPr>
        <w:t xml:space="preserve">– </w:t>
      </w:r>
      <w:r>
        <w:rPr>
          <w:rStyle w:val="CharStyle12"/>
        </w:rPr>
        <w:t>Типовая форма);</w:t>
      </w:r>
    </w:p>
    <w:p>
      <w:pPr>
        <w:pStyle w:val="Style11"/>
        <w:keepNext w:val="0"/>
        <w:keepLines w:val="0"/>
        <w:widowControl w:val="0"/>
        <w:numPr>
          <w:ilvl w:val="0"/>
          <w:numId w:val="9"/>
        </w:numPr>
        <w:shd w:val="clear" w:color="auto" w:fill="auto"/>
        <w:tabs>
          <w:tab w:pos="1416" w:val="left"/>
        </w:tabs>
        <w:bidi w:val="0"/>
        <w:spacing w:before="0" w:after="0" w:line="240" w:lineRule="auto"/>
        <w:ind w:left="0" w:right="0" w:firstLine="640"/>
        <w:jc w:val="both"/>
      </w:pPr>
      <w:r>
        <w:rPr>
          <w:rStyle w:val="CharStyle12"/>
        </w:rPr>
        <w:t>типовая форма независимой гарантии, предоставляемой в качестве обеспечения исполнения контракта.</w:t>
      </w:r>
    </w:p>
    <w:p>
      <w:pPr>
        <w:pStyle w:val="Style11"/>
        <w:keepNext w:val="0"/>
        <w:keepLines w:val="0"/>
        <w:widowControl w:val="0"/>
        <w:shd w:val="clear" w:color="auto" w:fill="auto"/>
        <w:bidi w:val="0"/>
        <w:spacing w:before="0" w:after="0" w:line="240" w:lineRule="auto"/>
        <w:ind w:left="0" w:right="0" w:firstLine="640"/>
        <w:jc w:val="both"/>
      </w:pPr>
      <w:r>
        <w:rPr>
          <w:rStyle w:val="CharStyle12"/>
        </w:rPr>
        <w:t>Вместе с этим Типовой формой предусмотрено включение в независимую гарантию, в том числе, сведений о месте нахождения, телефоне, адресе электронной почты бенефициара.</w:t>
      </w:r>
    </w:p>
    <w:p>
      <w:pPr>
        <w:pStyle w:val="Style11"/>
        <w:keepNext w:val="0"/>
        <w:keepLines w:val="0"/>
        <w:widowControl w:val="0"/>
        <w:shd w:val="clear" w:color="auto" w:fill="auto"/>
        <w:bidi w:val="0"/>
        <w:spacing w:before="0" w:after="0" w:line="240" w:lineRule="auto"/>
        <w:ind w:left="0" w:right="0" w:firstLine="640"/>
        <w:jc w:val="both"/>
      </w:pPr>
      <w:r>
        <w:rPr>
          <w:rStyle w:val="CharStyle12"/>
        </w:rPr>
        <w:t>При этом Типовой формой предусмотрены следующие положения:</w:t>
      </w:r>
    </w:p>
    <w:p>
      <w:pPr>
        <w:pStyle w:val="Style11"/>
        <w:keepNext w:val="0"/>
        <w:keepLines w:val="0"/>
        <w:widowControl w:val="0"/>
        <w:numPr>
          <w:ilvl w:val="0"/>
          <w:numId w:val="9"/>
        </w:numPr>
        <w:shd w:val="clear" w:color="auto" w:fill="auto"/>
        <w:tabs>
          <w:tab w:pos="2056" w:val="left"/>
        </w:tabs>
        <w:bidi w:val="0"/>
        <w:spacing w:before="0" w:after="0" w:line="240" w:lineRule="auto"/>
        <w:ind w:left="0" w:right="0" w:firstLine="640"/>
        <w:jc w:val="both"/>
      </w:pPr>
      <w:r>
        <w:rPr>
          <w:rStyle w:val="CharStyle12"/>
        </w:rPr>
        <w:t xml:space="preserve">«Срок действия независимой гарантии </w:t>
      </w:r>
      <w:r>
        <w:rPr>
          <w:rStyle w:val="CharStyle12"/>
          <w:lang w:val="en-US" w:eastAsia="en-US"/>
        </w:rPr>
        <w:t>&lt;5&gt;».</w:t>
      </w:r>
    </w:p>
    <w:p>
      <w:pPr>
        <w:pStyle w:val="Style11"/>
        <w:keepNext w:val="0"/>
        <w:keepLines w:val="0"/>
        <w:widowControl w:val="0"/>
        <w:numPr>
          <w:ilvl w:val="0"/>
          <w:numId w:val="9"/>
        </w:numPr>
        <w:shd w:val="clear" w:color="auto" w:fill="auto"/>
        <w:tabs>
          <w:tab w:pos="1416" w:val="left"/>
        </w:tabs>
        <w:bidi w:val="0"/>
        <w:spacing w:before="0" w:after="0" w:line="240" w:lineRule="auto"/>
        <w:ind w:left="0" w:right="0" w:firstLine="640"/>
        <w:jc w:val="both"/>
      </w:pPr>
      <w:r>
        <w:rPr>
          <w:rStyle w:val="CharStyle12"/>
          <w:lang w:val="en-US" w:eastAsia="en-US"/>
        </w:rPr>
        <w:t xml:space="preserve">«16. </w:t>
      </w:r>
      <w:r>
        <w:rPr>
          <w:rStyle w:val="CharStyle12"/>
        </w:rPr>
        <w:t>Настоящая независимая гарантия вступает в силу, обязанности по договору предоставления настоящей независимой гарантии подлежат исполнению со дня заключения контракта, для обеспечения исполнения которого выдана настоящая независимая гарантия».</w:t>
      </w:r>
    </w:p>
    <w:p>
      <w:pPr>
        <w:pStyle w:val="Style11"/>
        <w:keepNext w:val="0"/>
        <w:keepLines w:val="0"/>
        <w:widowControl w:val="0"/>
        <w:shd w:val="clear" w:color="auto" w:fill="auto"/>
        <w:bidi w:val="0"/>
        <w:spacing w:before="0" w:after="0" w:line="240" w:lineRule="auto"/>
        <w:ind w:left="0" w:right="0" w:firstLine="640"/>
        <w:jc w:val="both"/>
      </w:pPr>
      <w:r>
        <w:rPr>
          <w:rStyle w:val="CharStyle12"/>
        </w:rPr>
        <w:t xml:space="preserve">Также в Типовой форме указано: </w:t>
      </w:r>
      <w:r>
        <w:rPr>
          <w:rStyle w:val="CharStyle12"/>
          <w:lang w:val="en-US" w:eastAsia="en-US"/>
        </w:rPr>
        <w:t xml:space="preserve">«&lt;5&gt; </w:t>
      </w:r>
      <w:r>
        <w:rPr>
          <w:rStyle w:val="CharStyle12"/>
        </w:rPr>
        <w:t>Указывается срок, определяемый календарной датой или истечением периода времени, который исчисляется годами, месяцами, неделями, днями или часами. Такой срок может определяться также указанием на событие. Указываемый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 Федеральным законом «О контрактной системе в сфере закупок товаров, работ, услуг для обеспечения государственных и муниципальных нужд».</w:t>
      </w:r>
    </w:p>
    <w:p>
      <w:pPr>
        <w:pStyle w:val="Style11"/>
        <w:keepNext w:val="0"/>
        <w:keepLines w:val="0"/>
        <w:widowControl w:val="0"/>
        <w:shd w:val="clear" w:color="auto" w:fill="auto"/>
        <w:bidi w:val="0"/>
        <w:spacing w:before="0" w:after="0" w:line="240" w:lineRule="auto"/>
        <w:ind w:left="0" w:right="0" w:firstLine="640"/>
        <w:jc w:val="both"/>
      </w:pPr>
      <w:r>
        <w:rPr>
          <w:rStyle w:val="CharStyle12"/>
        </w:rPr>
        <w:t>Исходя из вышеуказанных положений Комиссия Управления приходит к выводу, что срок вступления независимой гарантии в силу указывается с учетом положений п.16 Типовой формы.</w:t>
      </w:r>
    </w:p>
    <w:p>
      <w:pPr>
        <w:pStyle w:val="Style11"/>
        <w:keepNext w:val="0"/>
        <w:keepLines w:val="0"/>
        <w:widowControl w:val="0"/>
        <w:shd w:val="clear" w:color="auto" w:fill="auto"/>
        <w:bidi w:val="0"/>
        <w:spacing w:before="0" w:after="0" w:line="240" w:lineRule="auto"/>
        <w:ind w:left="0" w:right="0" w:firstLine="640"/>
        <w:jc w:val="both"/>
      </w:pPr>
      <w:r>
        <w:rPr>
          <w:rStyle w:val="CharStyle12"/>
        </w:rPr>
        <w:t xml:space="preserve">Аналогичная позиция изложена в письме ФАС России от </w:t>
      </w:r>
      <w:r>
        <w:rPr>
          <w:rStyle w:val="CharStyle12"/>
          <w:lang w:val="en-US" w:eastAsia="en-US"/>
        </w:rPr>
        <w:t xml:space="preserve">05.03.2025 №28/19569/25 </w:t>
      </w:r>
      <w:r>
        <w:rPr>
          <w:rStyle w:val="CharStyle12"/>
        </w:rPr>
        <w:t>«О рассмотрении обращения».</w:t>
      </w:r>
    </w:p>
    <w:p>
      <w:pPr>
        <w:pStyle w:val="Style11"/>
        <w:keepNext w:val="0"/>
        <w:keepLines w:val="0"/>
        <w:widowControl w:val="0"/>
        <w:shd w:val="clear" w:color="auto" w:fill="auto"/>
        <w:bidi w:val="0"/>
        <w:spacing w:before="0" w:after="0" w:line="295" w:lineRule="auto"/>
        <w:ind w:left="0" w:right="0" w:firstLine="640"/>
        <w:jc w:val="both"/>
        <w:rPr>
          <w:sz w:val="24"/>
          <w:szCs w:val="24"/>
        </w:rPr>
      </w:pPr>
      <w:r>
        <w:rPr>
          <w:rStyle w:val="CharStyle12"/>
        </w:rPr>
        <w:t xml:space="preserve">Комиссией Управления установлено, что Заявителем в качестве обеспечения исполнения контракта в соответствии с Законом о контрактной системе </w:t>
      </w:r>
      <w:r>
        <w:rPr>
          <w:rStyle w:val="CharStyle12"/>
          <w:sz w:val="24"/>
          <w:szCs w:val="24"/>
          <w:lang w:val="en-US" w:eastAsia="en-US"/>
        </w:rPr>
        <w:t>2026-22933</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представлена независимая гарантия </w:t>
      </w:r>
      <w:r>
        <w:rPr>
          <w:rStyle w:val="CharStyle12"/>
          <w:lang w:val="en-US" w:eastAsia="en-US"/>
        </w:rPr>
        <w:t xml:space="preserve">№2615205 </w:t>
      </w:r>
      <w:r>
        <w:rPr>
          <w:rStyle w:val="CharStyle12"/>
        </w:rPr>
        <w:t xml:space="preserve">от </w:t>
      </w:r>
      <w:r>
        <w:rPr>
          <w:rStyle w:val="CharStyle12"/>
          <w:lang w:val="en-US" w:eastAsia="en-US"/>
        </w:rPr>
        <w:t xml:space="preserve">24.04.2026, </w:t>
      </w:r>
      <w:r>
        <w:rPr>
          <w:rStyle w:val="CharStyle12"/>
        </w:rPr>
        <w:t>выданная ПАО «ТРАНСКАПИТАЛБАНК»</w:t>
      </w:r>
    </w:p>
    <w:p>
      <w:pPr>
        <w:pStyle w:val="Style11"/>
        <w:keepNext w:val="0"/>
        <w:keepLines w:val="0"/>
        <w:widowControl w:val="0"/>
        <w:shd w:val="clear" w:color="auto" w:fill="auto"/>
        <w:bidi w:val="0"/>
        <w:spacing w:before="0" w:after="0" w:line="240" w:lineRule="auto"/>
        <w:ind w:left="0" w:right="0" w:firstLine="660"/>
        <w:jc w:val="both"/>
      </w:pPr>
      <w:r>
        <w:rPr>
          <w:rStyle w:val="CharStyle12"/>
        </w:rPr>
        <w:t>Вместе с этим Комиссией Управления установлено, что в независимой гарантии в том числе указано:</w:t>
      </w:r>
    </w:p>
    <w:p>
      <w:pPr>
        <w:pStyle w:val="Style11"/>
        <w:keepNext w:val="0"/>
        <w:keepLines w:val="0"/>
        <w:widowControl w:val="0"/>
        <w:numPr>
          <w:ilvl w:val="0"/>
          <w:numId w:val="9"/>
        </w:numPr>
        <w:shd w:val="clear" w:color="auto" w:fill="auto"/>
        <w:tabs>
          <w:tab w:pos="2076" w:val="left"/>
        </w:tabs>
        <w:bidi w:val="0"/>
        <w:spacing w:before="0" w:after="0" w:line="240" w:lineRule="auto"/>
        <w:ind w:left="0" w:right="0" w:firstLine="660"/>
        <w:jc w:val="both"/>
      </w:pPr>
      <w:r>
        <w:rPr>
          <w:rStyle w:val="CharStyle12"/>
        </w:rPr>
        <w:t>«Срезотзывной и должна содержать обязательства</w:t>
      </w:r>
    </w:p>
    <w:p>
      <w:pPr>
        <w:pStyle w:val="Style11"/>
        <w:keepNext w:val="0"/>
        <w:keepLines w:val="0"/>
        <w:widowControl w:val="0"/>
        <w:shd w:val="clear" w:color="auto" w:fill="auto"/>
        <w:bidi w:val="0"/>
        <w:spacing w:before="0" w:after="0" w:line="240" w:lineRule="auto"/>
        <w:ind w:left="0" w:right="0" w:firstLine="660"/>
        <w:jc w:val="both"/>
      </w:pPr>
      <w:r>
        <w:rPr>
          <w:rStyle w:val="CharStyle12"/>
        </w:rPr>
        <w:t>Гаранта выплатить Бенефициару сумму Гарантии</w:t>
      </w:r>
    </w:p>
    <w:p>
      <w:pPr>
        <w:pStyle w:val="Style11"/>
        <w:keepNext w:val="0"/>
        <w:keepLines w:val="0"/>
        <w:widowControl w:val="0"/>
        <w:shd w:val="clear" w:color="auto" w:fill="auto"/>
        <w:bidi w:val="0"/>
        <w:spacing w:before="0" w:after="0" w:line="240" w:lineRule="auto"/>
        <w:ind w:left="0" w:right="0" w:firstLine="660"/>
        <w:jc w:val="both"/>
      </w:pPr>
      <w:r>
        <w:rPr>
          <w:rStyle w:val="CharStyle12"/>
        </w:rPr>
        <w:t>иок вступления независимой гарантии в силу: С даты выдачи»;</w:t>
      </w:r>
    </w:p>
    <w:p>
      <w:pPr>
        <w:pStyle w:val="Style11"/>
        <w:keepNext w:val="0"/>
        <w:keepLines w:val="0"/>
        <w:widowControl w:val="0"/>
        <w:numPr>
          <w:ilvl w:val="0"/>
          <w:numId w:val="9"/>
        </w:numPr>
        <w:shd w:val="clear" w:color="auto" w:fill="auto"/>
        <w:tabs>
          <w:tab w:pos="1416" w:val="left"/>
        </w:tabs>
        <w:bidi w:val="0"/>
        <w:spacing w:before="0" w:after="0" w:line="240" w:lineRule="auto"/>
        <w:ind w:left="0" w:right="0" w:firstLine="660"/>
        <w:jc w:val="both"/>
      </w:pPr>
      <w:r>
        <w:rPr>
          <w:rStyle w:val="CharStyle12"/>
          <w:lang w:val="en-US" w:eastAsia="en-US"/>
        </w:rPr>
        <w:t xml:space="preserve">«16. </w:t>
      </w:r>
      <w:r>
        <w:rPr>
          <w:rStyle w:val="CharStyle12"/>
        </w:rPr>
        <w:t>Настоящая независимая гарантия вступает в силу, обязанности по договору предоставления настоящей независимой гарантии подлежат исполнению со дня заключения контракта, для обеспечения исполнения которого выдана настоящая независимая гарантия».</w:t>
      </w:r>
    </w:p>
    <w:p>
      <w:pPr>
        <w:pStyle w:val="Style11"/>
        <w:keepNext w:val="0"/>
        <w:keepLines w:val="0"/>
        <w:widowControl w:val="0"/>
        <w:shd w:val="clear" w:color="auto" w:fill="auto"/>
        <w:bidi w:val="0"/>
        <w:spacing w:before="0" w:after="0" w:line="240" w:lineRule="auto"/>
        <w:ind w:left="0" w:right="0" w:firstLine="660"/>
        <w:jc w:val="both"/>
      </w:pPr>
      <w:r>
        <w:rPr>
          <w:rStyle w:val="CharStyle12"/>
        </w:rPr>
        <w:t>Согласно ч.5 ст.45 Закона о контрактной системе Заказчик рассматривает поступившую независимую гарантию в срок, не превышающий трех рабочих дней со дня ее поступления, если Законом о контрактной системе не установлено иное.</w:t>
      </w:r>
    </w:p>
    <w:p>
      <w:pPr>
        <w:pStyle w:val="Style11"/>
        <w:keepNext w:val="0"/>
        <w:keepLines w:val="0"/>
        <w:widowControl w:val="0"/>
        <w:shd w:val="clear" w:color="auto" w:fill="auto"/>
        <w:bidi w:val="0"/>
        <w:spacing w:before="0" w:after="0" w:line="240" w:lineRule="auto"/>
        <w:ind w:left="0" w:right="0" w:firstLine="660"/>
        <w:jc w:val="both"/>
      </w:pPr>
      <w:r>
        <w:rPr>
          <w:rStyle w:val="CharStyle12"/>
        </w:rPr>
        <w:t>В соответствии с ч.6 ст.45 Закона о контрактной системе основанием для отказа в принятии банковской гарантии заказчиком является:</w:t>
      </w:r>
    </w:p>
    <w:p>
      <w:pPr>
        <w:pStyle w:val="Style11"/>
        <w:keepNext w:val="0"/>
        <w:keepLines w:val="0"/>
        <w:widowControl w:val="0"/>
        <w:numPr>
          <w:ilvl w:val="0"/>
          <w:numId w:val="11"/>
        </w:numPr>
        <w:shd w:val="clear" w:color="auto" w:fill="auto"/>
        <w:tabs>
          <w:tab w:pos="1111" w:val="left"/>
        </w:tabs>
        <w:bidi w:val="0"/>
        <w:spacing w:before="0" w:after="0" w:line="240" w:lineRule="auto"/>
        <w:ind w:left="0" w:right="0" w:firstLine="660"/>
        <w:jc w:val="both"/>
      </w:pPr>
      <w:r>
        <w:rPr>
          <w:rStyle w:val="CharStyle12"/>
        </w:rPr>
        <w:t>отсутствие информации о независимой гарантии в предусмотренных настоящей статьей реестрах независимых гарантий;</w:t>
      </w:r>
    </w:p>
    <w:p>
      <w:pPr>
        <w:pStyle w:val="Style11"/>
        <w:keepNext w:val="0"/>
        <w:keepLines w:val="0"/>
        <w:widowControl w:val="0"/>
        <w:numPr>
          <w:ilvl w:val="0"/>
          <w:numId w:val="11"/>
        </w:numPr>
        <w:shd w:val="clear" w:color="auto" w:fill="auto"/>
        <w:tabs>
          <w:tab w:pos="1111" w:val="left"/>
        </w:tabs>
        <w:bidi w:val="0"/>
        <w:spacing w:before="0" w:after="0" w:line="240" w:lineRule="auto"/>
        <w:ind w:left="0" w:right="0" w:firstLine="660"/>
        <w:jc w:val="both"/>
      </w:pPr>
      <w:r>
        <w:rPr>
          <w:rStyle w:val="CharStyle12"/>
        </w:rPr>
        <w:t xml:space="preserve">несоответствие независимой гарантии требованиям, предусмотренным частями </w:t>
      </w:r>
      <w:r>
        <w:rPr>
          <w:rStyle w:val="CharStyle12"/>
          <w:lang w:val="en-US" w:eastAsia="en-US"/>
        </w:rPr>
        <w:t xml:space="preserve">2, 3 </w:t>
      </w:r>
      <w:r>
        <w:rPr>
          <w:rStyle w:val="CharStyle12"/>
        </w:rPr>
        <w:t xml:space="preserve">и </w:t>
      </w:r>
      <w:r>
        <w:rPr>
          <w:rStyle w:val="CharStyle12"/>
          <w:lang w:val="en-US" w:eastAsia="en-US"/>
        </w:rPr>
        <w:t xml:space="preserve">8.2 </w:t>
      </w:r>
      <w:r>
        <w:rPr>
          <w:rStyle w:val="CharStyle12"/>
        </w:rPr>
        <w:t>ст.45 Закона о контрактной системе;</w:t>
      </w:r>
    </w:p>
    <w:p>
      <w:pPr>
        <w:pStyle w:val="Style11"/>
        <w:keepNext w:val="0"/>
        <w:keepLines w:val="0"/>
        <w:widowControl w:val="0"/>
        <w:numPr>
          <w:ilvl w:val="0"/>
          <w:numId w:val="11"/>
        </w:numPr>
        <w:shd w:val="clear" w:color="auto" w:fill="auto"/>
        <w:tabs>
          <w:tab w:pos="1111" w:val="left"/>
        </w:tabs>
        <w:bidi w:val="0"/>
        <w:spacing w:before="0" w:after="0" w:line="240" w:lineRule="auto"/>
        <w:ind w:left="0" w:right="0" w:firstLine="660"/>
        <w:jc w:val="both"/>
      </w:pPr>
      <w:r>
        <w:rPr>
          <w:rStyle w:val="CharStyle12"/>
        </w:rPr>
        <w:t>несоответствие независимой гарантии требованиям, содержащимся в извещении об осуществлении закупки, приглашении, документации о закупке (в случае, если Законом о контрактной системе предусмотрена документация о закупке), проекте контракта, который заключается с единственным поставщиком (подрядчиком, исполнителем).</w:t>
      </w:r>
    </w:p>
    <w:p>
      <w:pPr>
        <w:pStyle w:val="Style11"/>
        <w:keepNext w:val="0"/>
        <w:keepLines w:val="0"/>
        <w:widowControl w:val="0"/>
        <w:shd w:val="clear" w:color="auto" w:fill="auto"/>
        <w:bidi w:val="0"/>
        <w:spacing w:before="0" w:after="0" w:line="240" w:lineRule="auto"/>
        <w:ind w:left="0" w:right="0" w:firstLine="660"/>
        <w:jc w:val="both"/>
      </w:pPr>
      <w:r>
        <w:rPr>
          <w:rStyle w:val="CharStyle12"/>
        </w:rPr>
        <w:t xml:space="preserve">Вместе с тем в п. </w:t>
      </w:r>
      <w:r>
        <w:rPr>
          <w:rStyle w:val="CharStyle12"/>
          <w:lang w:val="en-US" w:eastAsia="en-US"/>
        </w:rPr>
        <w:t xml:space="preserve">17.2 </w:t>
      </w:r>
      <w:r>
        <w:rPr>
          <w:rStyle w:val="CharStyle12"/>
        </w:rPr>
        <w:t>Информационной карты, размещенной в составе извещения указано, в том числе:</w:t>
      </w:r>
    </w:p>
    <w:p>
      <w:pPr>
        <w:pStyle w:val="Style11"/>
        <w:keepNext w:val="0"/>
        <w:keepLines w:val="0"/>
        <w:widowControl w:val="0"/>
        <w:shd w:val="clear" w:color="auto" w:fill="auto"/>
        <w:bidi w:val="0"/>
        <w:spacing w:before="0" w:after="0" w:line="240" w:lineRule="auto"/>
        <w:ind w:left="0" w:right="0" w:firstLine="660"/>
        <w:jc w:val="both"/>
      </w:pPr>
      <w:r>
        <w:rPr>
          <w:rStyle w:val="CharStyle12"/>
          <w:i/>
          <w:iCs/>
        </w:rPr>
        <w:t xml:space="preserve">«Требования к независимой гарантии утверждены постановлением Правительства Российской Федерации от </w:t>
      </w:r>
      <w:r>
        <w:rPr>
          <w:rStyle w:val="CharStyle12"/>
          <w:i/>
          <w:iCs/>
          <w:lang w:val="en-US" w:eastAsia="en-US"/>
        </w:rPr>
        <w:t xml:space="preserve">8 </w:t>
      </w:r>
      <w:r>
        <w:rPr>
          <w:rStyle w:val="CharStyle12"/>
          <w:i/>
          <w:iCs/>
        </w:rPr>
        <w:t xml:space="preserve">ноября </w:t>
      </w:r>
      <w:r>
        <w:rPr>
          <w:rStyle w:val="CharStyle12"/>
          <w:i/>
          <w:iCs/>
          <w:lang w:val="en-US" w:eastAsia="en-US"/>
        </w:rPr>
        <w:t xml:space="preserve">2013 </w:t>
      </w:r>
      <w:r>
        <w:rPr>
          <w:rStyle w:val="CharStyle12"/>
          <w:i/>
          <w:iCs/>
        </w:rPr>
        <w:t xml:space="preserve">г. </w:t>
      </w:r>
      <w:r>
        <w:rPr>
          <w:rStyle w:val="CharStyle12"/>
          <w:i/>
          <w:iCs/>
          <w:lang w:val="en-US" w:eastAsia="en-US"/>
        </w:rPr>
        <w:t xml:space="preserve">№ 1005 </w:t>
      </w:r>
      <w:r>
        <w:rPr>
          <w:rStyle w:val="CharStyle12"/>
          <w:i/>
          <w:iCs/>
        </w:rPr>
        <w:t>«О независимых гарантиях, используемых для целей Федерального закона «О контрактной системе в сфере закупок товаров, работ, услуг дляобеспечения государственных и муниципальных нужд».</w:t>
      </w:r>
    </w:p>
    <w:p>
      <w:pPr>
        <w:pStyle w:val="Style11"/>
        <w:keepNext w:val="0"/>
        <w:keepLines w:val="0"/>
        <w:widowControl w:val="0"/>
        <w:shd w:val="clear" w:color="auto" w:fill="auto"/>
        <w:bidi w:val="0"/>
        <w:spacing w:before="0" w:after="0" w:line="240" w:lineRule="auto"/>
        <w:ind w:left="0" w:right="0" w:firstLine="660"/>
        <w:jc w:val="both"/>
      </w:pPr>
      <w:r>
        <w:rPr>
          <w:rStyle w:val="CharStyle12"/>
          <w:i/>
          <w:iCs/>
        </w:rPr>
        <w:t xml:space="preserve">Независимая гарантия оформляется в письменной форме на бумажном носителе или в форме электронного документа, подписанного усиленной неквалифицированной электронной подписью лица, имеющего право действовать от имени Гаранта на условиях, определенных гражданским законодательством и ст. </w:t>
      </w:r>
      <w:r>
        <w:rPr>
          <w:rStyle w:val="CharStyle12"/>
          <w:i/>
          <w:iCs/>
          <w:lang w:val="en-US" w:eastAsia="en-US"/>
        </w:rPr>
        <w:t xml:space="preserve">45 </w:t>
      </w:r>
      <w:r>
        <w:rPr>
          <w:rStyle w:val="CharStyle12"/>
          <w:i/>
          <w:iCs/>
        </w:rPr>
        <w:t>Закона о контрактной системе. Независимая гарантия должна быть бли ее часть, а именно:</w:t>
      </w:r>
    </w:p>
    <w:p>
      <w:pPr>
        <w:pStyle w:val="Style11"/>
        <w:keepNext w:val="0"/>
        <w:keepLines w:val="0"/>
        <w:widowControl w:val="0"/>
        <w:numPr>
          <w:ilvl w:val="0"/>
          <w:numId w:val="13"/>
        </w:numPr>
        <w:shd w:val="clear" w:color="auto" w:fill="auto"/>
        <w:tabs>
          <w:tab w:pos="1111" w:val="left"/>
        </w:tabs>
        <w:bidi w:val="0"/>
        <w:spacing w:before="0" w:after="0" w:line="240" w:lineRule="auto"/>
        <w:ind w:left="0" w:right="0" w:firstLine="660"/>
        <w:jc w:val="both"/>
      </w:pPr>
      <w:r>
        <w:rPr>
          <w:rStyle w:val="CharStyle12"/>
          <w:i/>
          <w:iCs/>
        </w:rPr>
        <w:t>обязательство уплатить сумму неустойки (штрафа, пеней) предусмотренных контрактом;</w:t>
      </w:r>
    </w:p>
    <w:p>
      <w:pPr>
        <w:pStyle w:val="Style11"/>
        <w:keepNext w:val="0"/>
        <w:keepLines w:val="0"/>
        <w:widowControl w:val="0"/>
        <w:numPr>
          <w:ilvl w:val="0"/>
          <w:numId w:val="13"/>
        </w:numPr>
        <w:shd w:val="clear" w:color="auto" w:fill="auto"/>
        <w:tabs>
          <w:tab w:pos="1111" w:val="left"/>
        </w:tabs>
        <w:bidi w:val="0"/>
        <w:spacing w:before="0" w:after="0" w:line="240" w:lineRule="auto"/>
        <w:ind w:left="0" w:right="0" w:firstLine="660"/>
        <w:jc w:val="both"/>
      </w:pPr>
      <w:r>
        <w:rPr>
          <w:rStyle w:val="CharStyle12"/>
          <w:i/>
          <w:iCs/>
        </w:rPr>
        <w:t>обязательство возместить убытки, понесенные Заказчиком в связи с неисполнением или ненадлежащим исполнением поставщиком (подрядчиком, исполнителем) своих обязательств по Контракту;</w:t>
      </w:r>
    </w:p>
    <w:p>
      <w:pPr>
        <w:pStyle w:val="Style11"/>
        <w:keepNext w:val="0"/>
        <w:keepLines w:val="0"/>
        <w:widowControl w:val="0"/>
        <w:numPr>
          <w:ilvl w:val="0"/>
          <w:numId w:val="13"/>
        </w:numPr>
        <w:shd w:val="clear" w:color="auto" w:fill="auto"/>
        <w:tabs>
          <w:tab w:pos="1111" w:val="left"/>
        </w:tabs>
        <w:bidi w:val="0"/>
        <w:spacing w:before="0" w:after="0" w:line="295" w:lineRule="auto"/>
        <w:ind w:left="0" w:right="0" w:firstLine="660"/>
        <w:jc w:val="both"/>
        <w:rPr>
          <w:sz w:val="24"/>
          <w:szCs w:val="24"/>
        </w:rPr>
        <w:sectPr>
          <w:headerReference w:type="default" r:id="rId15"/>
          <w:footerReference w:type="default" r:id="rId16"/>
          <w:footnotePr>
            <w:pos w:val="pageBottom"/>
            <w:numFmt w:val="decimal"/>
            <w:numRestart w:val="continuous"/>
          </w:footnotePr>
          <w:pgSz w:w="11900" w:h="16840"/>
          <w:pgMar w:top="1162" w:right="543" w:bottom="653" w:left="1100" w:header="0" w:footer="225" w:gutter="0"/>
          <w:cols w:space="720"/>
          <w:noEndnote/>
          <w:rtlGutter w:val="0"/>
          <w:docGrid w:linePitch="360"/>
        </w:sectPr>
      </w:pPr>
      <w:r>
        <w:rPr>
          <w:rStyle w:val="CharStyle12"/>
          <w:i/>
          <w:iCs/>
        </w:rPr>
        <w:t xml:space="preserve">обязательство уплатить сумму в размере авансового платежа (если выплата авансового платежа предусмотрена условиями контракта) при условии </w:t>
      </w:r>
      <w:r>
        <w:rPr>
          <w:rStyle w:val="CharStyle12"/>
          <w:sz w:val="24"/>
          <w:szCs w:val="24"/>
          <w:lang w:val="en-US" w:eastAsia="en-US"/>
        </w:rPr>
        <w:t>2026-22933</w:t>
      </w:r>
    </w:p>
    <w:p>
      <w:pPr>
        <w:pStyle w:val="Style11"/>
        <w:keepNext w:val="0"/>
        <w:keepLines w:val="0"/>
        <w:widowControl w:val="0"/>
        <w:shd w:val="clear" w:color="auto" w:fill="auto"/>
        <w:bidi w:val="0"/>
        <w:spacing w:before="0" w:after="0" w:line="240" w:lineRule="auto"/>
        <w:ind w:left="0" w:right="0" w:firstLine="0"/>
        <w:jc w:val="both"/>
      </w:pPr>
      <w:r>
        <w:rPr>
          <w:rStyle w:val="CharStyle12"/>
          <w:i/>
          <w:iCs/>
        </w:rPr>
        <w:t>если бенефициаром предъявлено требование о возврате авансового платежа принципалу и оно им не выполнено.</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Независимая гарантия должна в том числе содержать указание на то что все споры по независимой гарантии подлежат рассмотрению в Арбитражном суде города Москвы.</w:t>
      </w:r>
    </w:p>
    <w:p>
      <w:pPr>
        <w:pStyle w:val="Style11"/>
        <w:keepNext w:val="0"/>
        <w:keepLines w:val="0"/>
        <w:widowControl w:val="0"/>
        <w:shd w:val="clear" w:color="auto" w:fill="auto"/>
        <w:bidi w:val="0"/>
        <w:spacing w:before="0" w:after="0" w:line="240" w:lineRule="auto"/>
        <w:ind w:left="0" w:right="0" w:firstLine="700"/>
        <w:jc w:val="both"/>
      </w:pPr>
      <w:r>
        <w:rPr>
          <w:rStyle w:val="CharStyle12"/>
          <w:i/>
          <w:iCs/>
        </w:rPr>
        <w:t xml:space="preserve">Типовая форма независимой гарантии, предоставляемой в качестве обеспечения исполнения контракта представлена в Приложении </w:t>
      </w:r>
      <w:r>
        <w:rPr>
          <w:rStyle w:val="CharStyle12"/>
          <w:i/>
          <w:iCs/>
          <w:lang w:val="en-US" w:eastAsia="en-US"/>
        </w:rPr>
        <w:t xml:space="preserve">№ 2 </w:t>
      </w:r>
      <w:r>
        <w:rPr>
          <w:rStyle w:val="CharStyle12"/>
          <w:i/>
          <w:iCs/>
        </w:rPr>
        <w:t>к информационной карте об аукционе в электронной форме.».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На заседании Комиссии Управления представитель Заказчика пояснил, что Заявителем в качестве обеспечения исполнения контракта представлена независимая гарантия от </w:t>
      </w:r>
      <w:r>
        <w:rPr>
          <w:rStyle w:val="CharStyle12"/>
          <w:lang w:val="en-US" w:eastAsia="en-US"/>
        </w:rPr>
        <w:t xml:space="preserve">24.04.2026 № 2615205, </w:t>
      </w:r>
      <w:r>
        <w:rPr>
          <w:rStyle w:val="CharStyle12"/>
        </w:rPr>
        <w:t>выданная ПАО «ТРАНСКАПИТАЛБАНК».</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Согласно п. </w:t>
      </w:r>
      <w:r>
        <w:rPr>
          <w:rStyle w:val="CharStyle12"/>
          <w:lang w:val="en-US" w:eastAsia="en-US"/>
        </w:rPr>
        <w:t xml:space="preserve">16 </w:t>
      </w:r>
      <w:r>
        <w:rPr>
          <w:rStyle w:val="CharStyle12"/>
        </w:rPr>
        <w:t>предоставленной гарантии «Настоящая независимая гарантия вступает в силу, обязанности по договору предоставления настоящей независимой гарантии подлежат исполнению со дня заключения контракта, для обеспечения исполнения которого выдана настоящая независимая гарантия».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При этом в поле «Срок вступления независимой гарантии в силу» указано «с даты выдачи», что противоречит п. </w:t>
      </w:r>
      <w:r>
        <w:rPr>
          <w:rStyle w:val="CharStyle12"/>
          <w:lang w:val="en-US" w:eastAsia="en-US"/>
        </w:rPr>
        <w:t xml:space="preserve">16 </w:t>
      </w:r>
      <w:r>
        <w:rPr>
          <w:rStyle w:val="CharStyle12"/>
        </w:rPr>
        <w:t xml:space="preserve">типовой формы независимой гарантии, предоставляемой в качестве обеспечения исполнения контракта, утвержденной Постановлением </w:t>
      </w:r>
      <w:r>
        <w:rPr>
          <w:rStyle w:val="CharStyle12"/>
          <w:lang w:val="en-US" w:eastAsia="en-US"/>
        </w:rPr>
        <w:t xml:space="preserve">№ 1005 </w:t>
      </w:r>
      <w:r>
        <w:rPr>
          <w:rStyle w:val="CharStyle12"/>
        </w:rPr>
        <w:t xml:space="preserve">и п. </w:t>
      </w:r>
      <w:r>
        <w:rPr>
          <w:rStyle w:val="CharStyle12"/>
          <w:lang w:val="en-US" w:eastAsia="en-US"/>
        </w:rPr>
        <w:t xml:space="preserve">16 </w:t>
      </w:r>
      <w:r>
        <w:rPr>
          <w:rStyle w:val="CharStyle12"/>
        </w:rPr>
        <w:t>предоставленной гарантии.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 свою очередь, Комиссия Управления отмечает следующее.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 соответствии п. </w:t>
      </w:r>
      <w:r>
        <w:rPr>
          <w:rStyle w:val="CharStyle12"/>
          <w:lang w:val="en-US" w:eastAsia="en-US"/>
        </w:rPr>
        <w:t xml:space="preserve">5 </w:t>
      </w:r>
      <w:r>
        <w:rPr>
          <w:rStyle w:val="CharStyle12"/>
        </w:rPr>
        <w:t xml:space="preserve">ч. </w:t>
      </w:r>
      <w:r>
        <w:rPr>
          <w:rStyle w:val="CharStyle12"/>
          <w:lang w:val="en-US" w:eastAsia="en-US"/>
        </w:rPr>
        <w:t xml:space="preserve">2. </w:t>
      </w:r>
      <w:r>
        <w:rPr>
          <w:rStyle w:val="CharStyle12"/>
        </w:rPr>
        <w:t xml:space="preserve">ст. </w:t>
      </w:r>
      <w:r>
        <w:rPr>
          <w:rStyle w:val="CharStyle12"/>
          <w:lang w:val="en-US" w:eastAsia="en-US"/>
        </w:rPr>
        <w:t xml:space="preserve">45 </w:t>
      </w:r>
      <w:r>
        <w:rPr>
          <w:rStyle w:val="CharStyle12"/>
        </w:rPr>
        <w:t xml:space="preserve">Закона о контрактной системе Независимая гарантия должна быть безотзывной и должна содержать: срок действия независимой гарантии с учетом требований статей </w:t>
      </w:r>
      <w:r>
        <w:rPr>
          <w:rStyle w:val="CharStyle12"/>
          <w:lang w:val="en-US" w:eastAsia="en-US"/>
        </w:rPr>
        <w:t xml:space="preserve">44 </w:t>
      </w:r>
      <w:r>
        <w:rPr>
          <w:rStyle w:val="CharStyle12"/>
        </w:rPr>
        <w:t xml:space="preserve">и </w:t>
      </w:r>
      <w:r>
        <w:rPr>
          <w:rStyle w:val="CharStyle12"/>
          <w:lang w:val="en-US" w:eastAsia="en-US"/>
        </w:rPr>
        <w:t xml:space="preserve">96 </w:t>
      </w:r>
      <w:r>
        <w:rPr>
          <w:rStyle w:val="CharStyle12"/>
        </w:rPr>
        <w:t>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Независимая гарантия выдана Заявителю </w:t>
      </w:r>
      <w:r>
        <w:rPr>
          <w:rStyle w:val="CharStyle12"/>
          <w:lang w:val="en-US" w:eastAsia="en-US"/>
        </w:rPr>
        <w:t xml:space="preserve">24.04.2026, </w:t>
      </w:r>
      <w:r>
        <w:rPr>
          <w:rStyle w:val="CharStyle12"/>
        </w:rPr>
        <w:t>таким образом, на момент выдачи Независимой гарантии Заявителю Типовая форма независимой гарантии, предоставляемой в качестве обеспечения исполнения Контракта на участие в закупках, является обязательной.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Таким образом, Комиссия Управления приходит к выводу, что независимая гарантия не соответствует Типовой форме.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Исходя из вышеизложенного Комиссия Управления приходит к выводу, что представленная независимая гарантия не соответствует требованиям извещения, так как в извещении установлены условия о необходимости соответствия независимой гарантий требованиям Постановления </w:t>
      </w:r>
      <w:r>
        <w:rPr>
          <w:rStyle w:val="CharStyle12"/>
          <w:lang w:val="en-US" w:eastAsia="en-US"/>
        </w:rPr>
        <w:t>№1005.</w:t>
      </w:r>
    </w:p>
    <w:p>
      <w:pPr>
        <w:pStyle w:val="Style11"/>
        <w:keepNext w:val="0"/>
        <w:keepLines w:val="0"/>
        <w:widowControl w:val="0"/>
        <w:shd w:val="clear" w:color="auto" w:fill="auto"/>
        <w:bidi w:val="0"/>
        <w:spacing w:before="0" w:after="0" w:line="240" w:lineRule="auto"/>
        <w:ind w:left="0" w:right="0" w:firstLine="700"/>
        <w:jc w:val="both"/>
      </w:pPr>
      <w:r>
        <w:rPr>
          <w:rStyle w:val="CharStyle12"/>
        </w:rPr>
        <w:t>Таким образом, Комиссия Управления приходит к выводу, что у Заказчика имелись основания для признания независимой гарантии несоответствующей требованиям извещения и принятие Заказчиком решения о признания участника уклонившимся от заключения контракта не противоречит положениям 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На основании вышеизложенного Комиссия Управления приходит к выводу, что доводы жалобы не нашли своего подтверждения и являются необоснованными.</w:t>
      </w:r>
    </w:p>
    <w:p>
      <w:pPr>
        <w:pStyle w:val="Style11"/>
        <w:keepNext w:val="0"/>
        <w:keepLines w:val="0"/>
        <w:widowControl w:val="0"/>
        <w:shd w:val="clear" w:color="auto" w:fill="auto"/>
        <w:bidi w:val="0"/>
        <w:spacing w:before="0" w:after="0" w:line="240" w:lineRule="auto"/>
        <w:ind w:left="0" w:right="0" w:firstLine="680"/>
        <w:jc w:val="both"/>
      </w:pPr>
      <w:r>
        <w:rPr>
          <w:rStyle w:val="CharStyle12"/>
        </w:rPr>
        <w:t xml:space="preserve">Одновременно с этим Комиссия Управления отмечает, что ранее проведена проверка по факту уклонения от заключения государственного контракта Заявителя, по результатам которой выявлены нарушения ч. </w:t>
      </w:r>
      <w:r>
        <w:rPr>
          <w:rStyle w:val="CharStyle12"/>
          <w:lang w:val="en-US" w:eastAsia="en-US"/>
        </w:rPr>
        <w:t xml:space="preserve">8.2 </w:t>
      </w:r>
      <w:r>
        <w:rPr>
          <w:rStyle w:val="CharStyle12"/>
        </w:rPr>
        <w:t xml:space="preserve">ст. </w:t>
      </w:r>
      <w:r>
        <w:rPr>
          <w:rStyle w:val="CharStyle12"/>
          <w:lang w:val="en-US" w:eastAsia="en-US"/>
        </w:rPr>
        <w:t xml:space="preserve">45 </w:t>
      </w:r>
      <w:r>
        <w:rPr>
          <w:rStyle w:val="CharStyle12"/>
        </w:rPr>
        <w:t xml:space="preserve">Закона о контрактной системе в действиях ПАО «ТРАНСКАПИТАЛБАНК», в связи с чем выдано обязательное для исполнения предписание об устранении нарушений законодательства о контрактной системе от </w:t>
      </w:r>
      <w:r>
        <w:rPr>
          <w:rStyle w:val="CharStyle12"/>
          <w:lang w:val="en-US" w:eastAsia="en-US"/>
        </w:rPr>
        <w:t xml:space="preserve">05.05.2026 </w:t>
      </w:r>
      <w:r>
        <w:rPr>
          <w:rStyle w:val="CharStyle12"/>
        </w:rPr>
        <w:t xml:space="preserve">по делу </w:t>
      </w:r>
      <w:r>
        <w:rPr>
          <w:rStyle w:val="CharStyle12"/>
          <w:lang w:val="en-US" w:eastAsia="en-US"/>
        </w:rPr>
        <w:t>№ 077/10/104-5556/2026 .</w:t>
      </w:r>
    </w:p>
    <w:p>
      <w:pPr>
        <w:pStyle w:val="Style11"/>
        <w:keepNext w:val="0"/>
        <w:keepLines w:val="0"/>
        <w:widowControl w:val="0"/>
        <w:shd w:val="clear" w:color="auto" w:fill="auto"/>
        <w:bidi w:val="0"/>
        <w:spacing w:before="0" w:after="0" w:line="240" w:lineRule="auto"/>
        <w:ind w:left="0" w:right="0" w:firstLine="680"/>
        <w:jc w:val="both"/>
        <w:sectPr>
          <w:headerReference w:type="default" r:id="rId17"/>
          <w:footerReference w:type="default" r:id="rId18"/>
          <w:footnotePr>
            <w:pos w:val="pageBottom"/>
            <w:numFmt w:val="decimal"/>
            <w:numRestart w:val="continuous"/>
          </w:footnotePr>
          <w:pgSz w:w="11900" w:h="16840"/>
          <w:pgMar w:top="1155" w:right="545" w:bottom="1126" w:left="1098" w:header="0" w:footer="3" w:gutter="0"/>
          <w:cols w:space="720"/>
          <w:noEndnote/>
          <w:rtlGutter w:val="0"/>
          <w:docGrid w:linePitch="360"/>
        </w:sectPr>
      </w:pPr>
      <w:r>
        <w:rPr>
          <w:rStyle w:val="CharStyle12"/>
        </w:rPr>
        <w:t>Исследовав представленные материалы, руководствуясь Законом о контрактной системе, Комиссия Управления</w:t>
      </w:r>
    </w:p>
    <w:p>
      <w:pPr>
        <w:pStyle w:val="Style11"/>
        <w:keepNext w:val="0"/>
        <w:keepLines w:val="0"/>
        <w:widowControl w:val="0"/>
        <w:shd w:val="clear" w:color="auto" w:fill="auto"/>
        <w:bidi w:val="0"/>
        <w:spacing w:before="0" w:after="280" w:line="240" w:lineRule="auto"/>
        <w:ind w:left="0" w:right="0" w:firstLine="0"/>
        <w:jc w:val="center"/>
      </w:pPr>
      <w:r>
        <w:rPr>
          <w:rStyle w:val="CharStyle12"/>
          <w:b/>
          <w:bCs/>
        </w:rPr>
        <w:t>РЕШИЛА:</w:t>
      </w:r>
    </w:p>
    <w:p>
      <w:pPr>
        <w:pStyle w:val="Style11"/>
        <w:keepNext w:val="0"/>
        <w:keepLines w:val="0"/>
        <w:widowControl w:val="0"/>
        <w:numPr>
          <w:ilvl w:val="0"/>
          <w:numId w:val="15"/>
        </w:numPr>
        <w:shd w:val="clear" w:color="auto" w:fill="auto"/>
        <w:tabs>
          <w:tab w:pos="1045" w:val="left"/>
        </w:tabs>
        <w:bidi w:val="0"/>
        <w:spacing w:before="0" w:after="0" w:line="240" w:lineRule="auto"/>
        <w:ind w:left="0" w:right="0" w:firstLine="740"/>
        <w:jc w:val="both"/>
      </w:pPr>
      <w:r>
        <w:rPr>
          <w:rStyle w:val="CharStyle12"/>
        </w:rPr>
        <w:t>.Признать жалобу ИП Зайцева А.С. на действия ГКУ «АМПП» необоснованной.</w:t>
      </w:r>
    </w:p>
    <w:p>
      <w:pPr>
        <w:pStyle w:val="Style11"/>
        <w:keepNext w:val="0"/>
        <w:keepLines w:val="0"/>
        <w:widowControl w:val="0"/>
        <w:numPr>
          <w:ilvl w:val="0"/>
          <w:numId w:val="15"/>
        </w:numPr>
        <w:shd w:val="clear" w:color="auto" w:fill="auto"/>
        <w:tabs>
          <w:tab w:pos="1030" w:val="left"/>
        </w:tabs>
        <w:bidi w:val="0"/>
        <w:spacing w:before="0" w:after="240" w:line="240" w:lineRule="auto"/>
        <w:ind w:left="0" w:right="0" w:firstLine="740"/>
        <w:jc w:val="both"/>
      </w:pPr>
      <w:r>
        <w:rPr>
          <w:rStyle w:val="CharStyle12"/>
        </w:rPr>
        <w:t>.Снять ограничения, наложенные на определение поставщика (подрядчика, исполнителя) Московским УФАС России.</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Решение может быть обжаловано в судебном порядке в Арбитражном суде г. Москвы в течение </w:t>
      </w:r>
      <w:r>
        <w:rPr>
          <w:rStyle w:val="CharStyle12"/>
          <w:lang w:val="en-US" w:eastAsia="en-US"/>
        </w:rPr>
        <w:t xml:space="preserve">3 </w:t>
      </w:r>
      <w:r>
        <w:rPr>
          <w:rStyle w:val="CharStyle12"/>
        </w:rPr>
        <w:t xml:space="preserve">(трех) месяцев с даты его принятия в порядке, установленном гл. </w:t>
      </w:r>
      <w:r>
        <w:rPr>
          <w:rStyle w:val="CharStyle12"/>
          <w:lang w:val="en-US" w:eastAsia="en-US"/>
        </w:rPr>
        <w:t xml:space="preserve">24 </w:t>
      </w:r>
      <w:r>
        <w:rPr>
          <w:rStyle w:val="CharStyle12"/>
        </w:rPr>
        <w:t>АПК РФ.</w:t>
      </w:r>
    </w:p>
    <w:p>
      <w:pPr>
        <w:widowControl w:val="0"/>
        <w:spacing w:line="1" w:lineRule="exact"/>
        <w:sectPr>
          <w:footnotePr>
            <w:pos w:val="pageBottom"/>
            <w:numFmt w:val="decimal"/>
            <w:numRestart w:val="continuous"/>
          </w:footnotePr>
          <w:pgSz w:w="11900" w:h="16840"/>
          <w:pgMar w:top="1479" w:right="546" w:bottom="4671" w:left="1106" w:header="0" w:footer="3" w:gutter="0"/>
          <w:cols w:space="720"/>
          <w:noEndnote/>
          <w:rtlGutter w:val="0"/>
          <w:docGrid w:linePitch="360"/>
        </w:sectPr>
      </w:pPr>
      <w:r>
        <mc:AlternateContent>
          <mc:Choice Requires="wps">
            <w:drawing>
              <wp:anchor distT="330200" distB="216535" distL="0" distR="0" simplePos="0" relativeHeight="125829379" behindDoc="0" locked="0" layoutInCell="1" allowOverlap="1">
                <wp:simplePos x="0" y="0"/>
                <wp:positionH relativeFrom="page">
                  <wp:posOffset>739140</wp:posOffset>
                </wp:positionH>
                <wp:positionV relativeFrom="paragraph">
                  <wp:posOffset>330200</wp:posOffset>
                </wp:positionV>
                <wp:extent cx="1844040" cy="252730"/>
                <wp:wrapTopAndBottom/>
                <wp:docPr id="18" name="Shape 18"/>
                <a:graphic xmlns:a="http://schemas.openxmlformats.org/drawingml/2006/main">
                  <a:graphicData uri="http://schemas.microsoft.com/office/word/2010/wordprocessingShape">
                    <wps:wsp>
                      <wps:cNvSpPr txBox="1"/>
                      <wps:spPr>
                        <a:xfrm>
                          <a:ext cx="1844040"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wps:txbx>
                      <wps:bodyPr wrap="none" lIns="0" tIns="0" rIns="0" bIns="0">
                        <a:noAutoFit/>
                      </wps:bodyPr>
                    </wps:wsp>
                  </a:graphicData>
                </a:graphic>
              </wp:anchor>
            </w:drawing>
          </mc:Choice>
          <mc:Fallback>
            <w:pict>
              <v:shape id="_x0000_s1044" type="#_x0000_t202" style="position:absolute;margin-left:58.200000000000003pt;margin-top:26.pt;width:145.20000000000002pt;height:19.900000000000002pt;z-index:-125829374;mso-wrap-distance-left:0;mso-wrap-distance-top:26.pt;mso-wrap-distance-right:0;mso-wrap-distance-bottom:17.05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v:textbox>
                <w10:wrap type="topAndBottom" anchorx="page"/>
              </v:shape>
            </w:pict>
          </mc:Fallback>
        </mc:AlternateContent>
      </w:r>
      <w:r>
        <w:drawing>
          <wp:anchor distT="400050" distB="0" distL="0" distR="1786255" simplePos="0" relativeHeight="125829381" behindDoc="0" locked="0" layoutInCell="1" allowOverlap="1">
            <wp:simplePos x="0" y="0"/>
            <wp:positionH relativeFrom="page">
              <wp:posOffset>2945765</wp:posOffset>
            </wp:positionH>
            <wp:positionV relativeFrom="paragraph">
              <wp:posOffset>400050</wp:posOffset>
            </wp:positionV>
            <wp:extent cx="353695" cy="402590"/>
            <wp:wrapTopAndBottom/>
            <wp:docPr id="20" name="Shape 20"/>
            <a:graphic xmlns:a="http://schemas.openxmlformats.org/drawingml/2006/main">
              <a:graphicData uri="http://schemas.openxmlformats.org/drawingml/2006/picture">
                <pic:pic xmlns:pic="http://schemas.openxmlformats.org/drawingml/2006/picture">
                  <pic:nvPicPr>
                    <pic:cNvPr id="21" name="Picture box 21"/>
                    <pic:cNvPicPr/>
                  </pic:nvPicPr>
                  <pic:blipFill>
                    <a:blip r:embed="rId19"/>
                    <a:stretch/>
                  </pic:blipFill>
                  <pic:spPr>
                    <a:xfrm>
                      <a:ext cx="353695" cy="4025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3363595</wp:posOffset>
                </wp:positionH>
                <wp:positionV relativeFrom="paragraph">
                  <wp:posOffset>491490</wp:posOffset>
                </wp:positionV>
                <wp:extent cx="1722120" cy="259080"/>
                <wp:wrapNone/>
                <wp:docPr id="22" name="Shape 22"/>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 xml:space="preserve">Подлинник электронного документа, подписанного </w:t>
                            </w:r>
                            <w:r>
                              <w:rPr>
                                <w:rStyle w:val="CharStyle17"/>
                                <w:color w:val="000000"/>
                              </w:rPr>
                              <w:t xml:space="preserve">ЭП, </w:t>
                            </w:r>
                            <w:r>
                              <w:rPr>
                                <w:rStyle w:val="CharStyle17"/>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8" type="#_x0000_t202" style="position:absolute;margin-left:264.85000000000002pt;margin-top:38.700000000000003pt;width:135.59999999999999pt;height:20.400000000000002pt;z-index:25165772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 xml:space="preserve">Подлинник электронного документа, подписанного </w:t>
                      </w:r>
                      <w:r>
                        <w:rPr>
                          <w:rStyle w:val="CharStyle17"/>
                          <w:color w:val="000000"/>
                        </w:rPr>
                        <w:t xml:space="preserve">ЭП, </w:t>
                      </w:r>
                      <w:r>
                        <w:rPr>
                          <w:rStyle w:val="CharStyle17"/>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216535" distL="0" distR="0" simplePos="0" relativeHeight="125829382" behindDoc="0" locked="0" layoutInCell="1" allowOverlap="1">
                <wp:simplePos x="0" y="0"/>
                <wp:positionH relativeFrom="page">
                  <wp:posOffset>5914390</wp:posOffset>
                </wp:positionH>
                <wp:positionV relativeFrom="paragraph">
                  <wp:posOffset>330200</wp:posOffset>
                </wp:positionV>
                <wp:extent cx="1289050" cy="252730"/>
                <wp:wrapTopAndBottom/>
                <wp:docPr id="24" name="Shape 24"/>
                <a:graphic xmlns:a="http://schemas.openxmlformats.org/drawingml/2006/main">
                  <a:graphicData uri="http://schemas.microsoft.com/office/word/2010/wordprocessingShape">
                    <wps:wsp>
                      <wps:cNvSpPr txBox="1"/>
                      <wps:spPr>
                        <a:xfrm>
                          <a:ext cx="1289050"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center"/>
                            </w:pPr>
                            <w:r>
                              <w:rPr>
                                <w:rStyle w:val="CharStyle12"/>
                              </w:rPr>
                              <w:t>А.А. Кутейников</w:t>
                            </w:r>
                          </w:p>
                        </w:txbxContent>
                      </wps:txbx>
                      <wps:bodyPr wrap="none" lIns="0" tIns="0" rIns="0" bIns="0">
                        <a:noAutoFit/>
                      </wps:bodyPr>
                    </wps:wsp>
                  </a:graphicData>
                </a:graphic>
              </wp:anchor>
            </w:drawing>
          </mc:Choice>
          <mc:Fallback>
            <w:pict>
              <v:shape id="_x0000_s1050" type="#_x0000_t202" style="position:absolute;margin-left:465.69999999999999pt;margin-top:26.pt;width:101.5pt;height:19.900000000000002pt;z-index:-125829371;mso-wrap-distance-left:0;mso-wrap-distance-top:26.pt;mso-wrap-distance-right:0;mso-wrap-distance-bottom:17.05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center"/>
                      </w:pPr>
                      <w:r>
                        <w:rPr>
                          <w:rStyle w:val="CharStyle12"/>
                        </w:rPr>
                        <w:t>А.А. Кутейников</w:t>
                      </w:r>
                    </w:p>
                  </w:txbxContent>
                </v:textbox>
                <w10:wrap type="topAndBottom" anchorx="page"/>
              </v:shape>
            </w:pict>
          </mc:Fallback>
        </mc:AlternateContent>
      </w:r>
    </w:p>
    <w:p>
      <w:pPr>
        <w:pStyle w:val="Style1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0"/>
        </w:rPr>
        <w:t>СВЕДЕНИЯ О СЕРТИФИКАТЕ ЭП</w:t>
      </w:r>
    </w:p>
    <w:p>
      <w:pPr>
        <w:pStyle w:val="Style21"/>
        <w:keepNext w:val="0"/>
        <w:keepLines w:val="0"/>
        <w:widowControl w:val="0"/>
        <w:shd w:val="clear" w:color="auto" w:fill="auto"/>
        <w:bidi w:val="0"/>
        <w:spacing w:before="0" w:after="0" w:line="240" w:lineRule="auto"/>
        <w:ind w:left="0" w:right="0" w:firstLine="0"/>
        <w:jc w:val="center"/>
      </w:pPr>
      <w:r>
        <w:rPr>
          <w:rStyle w:val="CharStyle22"/>
        </w:rPr>
        <w:t xml:space="preserve">Кому выдан: </w:t>
      </w:r>
      <w:r>
        <w:rPr>
          <w:rStyle w:val="CharStyle22"/>
          <w:color w:val="000000"/>
        </w:rPr>
        <w:t>Кутейников Антон Андреевич</w:t>
      </w:r>
    </w:p>
    <w:p>
      <w:pPr>
        <w:pStyle w:val="Style21"/>
        <w:keepNext w:val="0"/>
        <w:keepLines w:val="0"/>
        <w:widowControl w:val="0"/>
        <w:shd w:val="clear" w:color="auto" w:fill="auto"/>
        <w:bidi w:val="0"/>
        <w:spacing w:before="0" w:after="0" w:line="240" w:lineRule="auto"/>
        <w:ind w:right="0" w:firstLine="0"/>
        <w:jc w:val="both"/>
      </w:pPr>
      <w:r>
        <w:rPr>
          <w:rStyle w:val="CharStyle22"/>
        </w:rPr>
        <w:t xml:space="preserve">Сертификат </w:t>
      </w:r>
      <w:r>
        <w:rPr>
          <w:rStyle w:val="CharStyle22"/>
          <w:color w:val="2A2A2A"/>
        </w:rPr>
        <w:t xml:space="preserve">№ </w:t>
      </w:r>
      <w:r>
        <w:rPr>
          <w:rStyle w:val="CharStyle22"/>
          <w:lang w:val="en-US" w:eastAsia="en-US"/>
        </w:rPr>
        <w:t>67950889C45403E5BD9EBC88A8D80C0D</w:t>
      </w:r>
    </w:p>
    <w:p>
      <w:pPr>
        <w:pStyle w:val="Style21"/>
        <w:keepNext w:val="0"/>
        <w:keepLines w:val="0"/>
        <w:widowControl w:val="0"/>
        <w:shd w:val="clear" w:color="auto" w:fill="auto"/>
        <w:bidi w:val="0"/>
        <w:spacing w:before="0" w:after="0" w:line="240" w:lineRule="auto"/>
        <w:ind w:right="0" w:firstLine="0"/>
        <w:jc w:val="left"/>
      </w:pPr>
      <w:r>
        <w:rPr>
          <w:rStyle w:val="CharStyle22"/>
        </w:rPr>
        <w:t>Действителен с 19.05.2025 по 12.08.2026</w:t>
      </w:r>
    </w:p>
    <w:p>
      <w:pPr>
        <w:widowControl w:val="0"/>
        <w:spacing w:line="1" w:lineRule="exact"/>
        <w:sectPr>
          <w:footnotePr>
            <w:pos w:val="pageBottom"/>
            <w:numFmt w:val="decimal"/>
            <w:numRestart w:val="continuous"/>
          </w:footnotePr>
          <w:type w:val="continuous"/>
          <w:pgSz w:w="11900" w:h="16840"/>
          <w:pgMar w:top="1479" w:right="546" w:bottom="4671" w:left="1106" w:header="0" w:footer="3" w:gutter="0"/>
          <w:cols w:space="720"/>
          <w:noEndnote/>
          <w:rtlGutter w:val="0"/>
          <w:docGrid w:linePitch="360"/>
        </w:sectPr>
      </w:pPr>
      <w:r>
        <mc:AlternateContent>
          <mc:Choice Requires="wps">
            <w:drawing>
              <wp:anchor distT="114300" distB="191770" distL="0" distR="0" simplePos="0" relativeHeight="125829384" behindDoc="0" locked="0" layoutInCell="1" allowOverlap="1">
                <wp:simplePos x="0" y="0"/>
                <wp:positionH relativeFrom="page">
                  <wp:posOffset>735965</wp:posOffset>
                </wp:positionH>
                <wp:positionV relativeFrom="paragraph">
                  <wp:posOffset>114300</wp:posOffset>
                </wp:positionV>
                <wp:extent cx="1325880" cy="250190"/>
                <wp:wrapTopAndBottom/>
                <wp:docPr id="26" name="Shape 26"/>
                <a:graphic xmlns:a="http://schemas.openxmlformats.org/drawingml/2006/main">
                  <a:graphicData uri="http://schemas.microsoft.com/office/word/2010/wordprocessingShape">
                    <wps:wsp>
                      <wps:cNvSpPr txBox="1"/>
                      <wps:spPr>
                        <a:xfrm>
                          <a:ext cx="1325880"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Члены комиссии</w:t>
                            </w:r>
                          </w:p>
                        </w:txbxContent>
                      </wps:txbx>
                      <wps:bodyPr wrap="none" lIns="0" tIns="0" rIns="0" bIns="0">
                        <a:noAutoFit/>
                      </wps:bodyPr>
                    </wps:wsp>
                  </a:graphicData>
                </a:graphic>
              </wp:anchor>
            </w:drawing>
          </mc:Choice>
          <mc:Fallback>
            <w:pict>
              <v:shape id="_x0000_s1052" type="#_x0000_t202" style="position:absolute;margin-left:57.950000000000003pt;margin-top:9.pt;width:104.40000000000001pt;height:19.699999999999999pt;z-index:-125829369;mso-wrap-distance-left:0;mso-wrap-distance-top:9.pt;mso-wrap-distance-right:0;mso-wrap-distance-bottom:15.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Члены комиссии</w:t>
                      </w:r>
                    </w:p>
                  </w:txbxContent>
                </v:textbox>
                <w10:wrap type="topAndBottom" anchorx="page"/>
              </v:shape>
            </w:pict>
          </mc:Fallback>
        </mc:AlternateContent>
      </w:r>
      <w:r>
        <w:drawing>
          <wp:anchor distT="212090" distB="0" distL="0" distR="1813560" simplePos="0" relativeHeight="125829386" behindDoc="0" locked="0" layoutInCell="1" allowOverlap="1">
            <wp:simplePos x="0" y="0"/>
            <wp:positionH relativeFrom="page">
              <wp:posOffset>2976245</wp:posOffset>
            </wp:positionH>
            <wp:positionV relativeFrom="paragraph">
              <wp:posOffset>212090</wp:posOffset>
            </wp:positionV>
            <wp:extent cx="298450" cy="347345"/>
            <wp:wrapTopAndBottom/>
            <wp:docPr id="28" name="Shape 28"/>
            <a:graphic xmlns:a="http://schemas.openxmlformats.org/drawingml/2006/main">
              <a:graphicData uri="http://schemas.openxmlformats.org/drawingml/2006/picture">
                <pic:pic xmlns:pic="http://schemas.openxmlformats.org/drawingml/2006/picture">
                  <pic:nvPicPr>
                    <pic:cNvPr id="29" name="Picture box 29"/>
                    <pic:cNvPicPr/>
                  </pic:nvPicPr>
                  <pic:blipFill>
                    <a:blip r:embed="rId21"/>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3363595</wp:posOffset>
                </wp:positionH>
                <wp:positionV relativeFrom="paragraph">
                  <wp:posOffset>273050</wp:posOffset>
                </wp:positionV>
                <wp:extent cx="1722120" cy="259080"/>
                <wp:wrapNone/>
                <wp:docPr id="30" name="Shape 30"/>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 xml:space="preserve">Подлинник электронного документа, подписанного </w:t>
                            </w:r>
                            <w:r>
                              <w:rPr>
                                <w:rStyle w:val="CharStyle17"/>
                                <w:color w:val="000000"/>
                              </w:rPr>
                              <w:t xml:space="preserve">ЭП, </w:t>
                            </w:r>
                            <w:r>
                              <w:rPr>
                                <w:rStyle w:val="CharStyle17"/>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6" type="#_x0000_t202" style="position:absolute;margin-left:264.85000000000002pt;margin-top:21.5pt;width:135.59999999999999pt;height:20.40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 xml:space="preserve">Подлинник электронного документа, подписанного </w:t>
                      </w:r>
                      <w:r>
                        <w:rPr>
                          <w:rStyle w:val="CharStyle17"/>
                          <w:color w:val="000000"/>
                        </w:rPr>
                        <w:t xml:space="preserve">ЭП, </w:t>
                      </w:r>
                      <w:r>
                        <w:rPr>
                          <w:rStyle w:val="CharStyle17"/>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14300" distB="191770" distL="0" distR="0" simplePos="0" relativeHeight="125829387" behindDoc="0" locked="0" layoutInCell="1" allowOverlap="1">
                <wp:simplePos x="0" y="0"/>
                <wp:positionH relativeFrom="page">
                  <wp:posOffset>6066790</wp:posOffset>
                </wp:positionH>
                <wp:positionV relativeFrom="paragraph">
                  <wp:posOffset>114300</wp:posOffset>
                </wp:positionV>
                <wp:extent cx="1118870" cy="250190"/>
                <wp:wrapTopAndBottom/>
                <wp:docPr id="32" name="Shape 32"/>
                <a:graphic xmlns:a="http://schemas.openxmlformats.org/drawingml/2006/main">
                  <a:graphicData uri="http://schemas.microsoft.com/office/word/2010/wordprocessingShape">
                    <wps:wsp>
                      <wps:cNvSpPr txBox="1"/>
                      <wps:spPr>
                        <a:xfrm>
                          <a:ext cx="1118870"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М.О. Мацнева</w:t>
                            </w:r>
                          </w:p>
                        </w:txbxContent>
                      </wps:txbx>
                      <wps:bodyPr wrap="none" lIns="0" tIns="0" rIns="0" bIns="0">
                        <a:noAutoFit/>
                      </wps:bodyPr>
                    </wps:wsp>
                  </a:graphicData>
                </a:graphic>
              </wp:anchor>
            </w:drawing>
          </mc:Choice>
          <mc:Fallback>
            <w:pict>
              <v:shape id="_x0000_s1058" type="#_x0000_t202" style="position:absolute;margin-left:477.69999999999999pt;margin-top:9.pt;width:88.100000000000009pt;height:19.699999999999999pt;z-index:-125829366;mso-wrap-distance-left:0;mso-wrap-distance-top:9.pt;mso-wrap-distance-right:0;mso-wrap-distance-bottom:15.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М.О. Мацнева</w:t>
                      </w:r>
                    </w:p>
                  </w:txbxContent>
                </v:textbox>
                <w10:wrap type="topAndBottom" anchorx="page"/>
              </v:shape>
            </w:pict>
          </mc:Fallback>
        </mc:AlternateContent>
      </w:r>
    </w:p>
    <w:p>
      <w:pPr>
        <w:pStyle w:val="Style1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0"/>
        </w:rPr>
        <w:t>СВЕДЕНИЯ О СЕРТИФИКАТЕ ЭП</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выдан: </w:t>
      </w:r>
      <w:r>
        <w:rPr>
          <w:rStyle w:val="CharStyle22"/>
          <w:color w:val="000000"/>
        </w:rPr>
        <w:t>Мацнева Мария Олеговна</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Сертификат </w:t>
      </w:r>
      <w:r>
        <w:rPr>
          <w:rStyle w:val="CharStyle22"/>
          <w:color w:val="2A2A2A"/>
        </w:rPr>
        <w:t xml:space="preserve">№ </w:t>
      </w:r>
      <w:r>
        <w:rPr>
          <w:rStyle w:val="CharStyle22"/>
          <w:lang w:val="en-US" w:eastAsia="en-US"/>
        </w:rPr>
        <w:t>00FDA1C988AAB27A9A34756B8D5F1D853</w:t>
      </w:r>
      <w:r>
        <w:rPr>
          <w:rStyle w:val="CharStyle22"/>
          <w:lang w:val="en-US" w:eastAsia="en-US"/>
        </w:rPr>
        <w:t>A</w:t>
      </w:r>
    </w:p>
    <w:p>
      <w:pPr>
        <w:pStyle w:val="Style21"/>
        <w:keepNext w:val="0"/>
        <w:keepLines w:val="0"/>
        <w:widowControl w:val="0"/>
        <w:shd w:val="clear" w:color="auto" w:fill="auto"/>
        <w:bidi w:val="0"/>
        <w:spacing w:before="0" w:after="320" w:line="240" w:lineRule="auto"/>
        <w:ind w:right="0" w:firstLine="0"/>
        <w:jc w:val="left"/>
      </w:pPr>
      <w:r>
        <w:rPr>
          <w:rStyle w:val="CharStyle22"/>
        </w:rPr>
        <w:t>Действителен с 22.07.2025 по 15.10.2026</w:t>
      </w:r>
    </w:p>
    <w:p>
      <w:pPr>
        <w:pStyle w:val="Style11"/>
        <w:keepNext w:val="0"/>
        <w:keepLines w:val="0"/>
        <w:widowControl w:val="0"/>
        <w:shd w:val="clear" w:color="auto" w:fill="auto"/>
        <w:bidi w:val="0"/>
        <w:spacing w:before="0" w:after="640" w:line="240" w:lineRule="auto"/>
        <w:ind w:left="0" w:right="0" w:firstLine="720"/>
        <w:jc w:val="left"/>
      </w:pPr>
      <w:r>
        <w:drawing>
          <wp:anchor distT="0" distB="0" distL="114300" distR="1900555" simplePos="0" relativeHeight="125829389" behindDoc="0" locked="0" layoutInCell="1" allowOverlap="1">
            <wp:simplePos x="0" y="0"/>
            <wp:positionH relativeFrom="page">
              <wp:posOffset>2945765</wp:posOffset>
            </wp:positionH>
            <wp:positionV relativeFrom="paragraph">
              <wp:posOffset>50800</wp:posOffset>
            </wp:positionV>
            <wp:extent cx="353695" cy="530225"/>
            <wp:wrapSquare wrapText="right"/>
            <wp:docPr id="34" name="Shape 34"/>
            <a:graphic xmlns:a="http://schemas.openxmlformats.org/drawingml/2006/main">
              <a:graphicData uri="http://schemas.openxmlformats.org/drawingml/2006/picture">
                <pic:pic xmlns:pic="http://schemas.openxmlformats.org/drawingml/2006/picture">
                  <pic:nvPicPr>
                    <pic:cNvPr id="35" name="Picture box 35"/>
                    <pic:cNvPicPr/>
                  </pic:nvPicPr>
                  <pic:blipFill>
                    <a:blip r:embed="rId23"/>
                    <a:stretch/>
                  </pic:blipFill>
                  <pic:spPr>
                    <a:xfrm>
                      <a:ext cx="353695" cy="53022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3406140</wp:posOffset>
                </wp:positionH>
                <wp:positionV relativeFrom="paragraph">
                  <wp:posOffset>465455</wp:posOffset>
                </wp:positionV>
                <wp:extent cx="1283335" cy="100330"/>
                <wp:wrapNone/>
                <wp:docPr id="36" name="Shape 36"/>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E7E7E7"/>
                                <w:sz w:val="12"/>
                                <w:szCs w:val="12"/>
                              </w:rPr>
                              <w:t>СВЕДЕНИЯ О СЕРТИФИКАТЕ ЭП</w:t>
                            </w:r>
                          </w:p>
                        </w:txbxContent>
                      </wps:txbx>
                      <wps:bodyPr lIns="0" tIns="0" rIns="0" bIns="0">
                        <a:noAutoFit/>
                      </wps:bodyPr>
                    </wps:wsp>
                  </a:graphicData>
                </a:graphic>
              </wp:anchor>
            </w:drawing>
          </mc:Choice>
          <mc:Fallback>
            <w:pict>
              <v:shape id="_x0000_s1062" type="#_x0000_t202" style="position:absolute;margin-left:268.19999999999999pt;margin-top:36.649999999999999pt;width:101.05pt;height:7.9000000000000004pt;z-index:251657733;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E7E7E7"/>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3363595</wp:posOffset>
                </wp:positionH>
                <wp:positionV relativeFrom="paragraph">
                  <wp:posOffset>148590</wp:posOffset>
                </wp:positionV>
                <wp:extent cx="1722120" cy="259080"/>
                <wp:wrapNone/>
                <wp:docPr id="38" name="Shape 38"/>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 xml:space="preserve">Подлинник электронного документа, подписанного </w:t>
                            </w:r>
                            <w:r>
                              <w:rPr>
                                <w:rStyle w:val="CharStyle17"/>
                                <w:color w:val="000000"/>
                              </w:rPr>
                              <w:t xml:space="preserve">ЭП, </w:t>
                            </w:r>
                            <w:r>
                              <w:rPr>
                                <w:rStyle w:val="CharStyle17"/>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4" type="#_x0000_t202" style="position:absolute;margin-left:264.85000000000002pt;margin-top:11.700000000000001pt;width:135.59999999999999pt;height:20.400000000000002pt;z-index:251657735;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 xml:space="preserve">Подлинник электронного документа, подписанного </w:t>
                      </w:r>
                      <w:r>
                        <w:rPr>
                          <w:rStyle w:val="CharStyle17"/>
                          <w:color w:val="000000"/>
                        </w:rPr>
                        <w:t xml:space="preserve">ЭП, </w:t>
                      </w:r>
                      <w:r>
                        <w:rPr>
                          <w:rStyle w:val="CharStyle17"/>
                        </w:rPr>
                        <w:t>хранится в системе электронного документооборота ФАС России</w:t>
                      </w:r>
                    </w:p>
                  </w:txbxContent>
                </v:textbox>
                <w10:wrap anchorx="page"/>
              </v:shape>
            </w:pict>
          </mc:Fallback>
        </mc:AlternateContent>
      </w:r>
      <w:r>
        <w:rPr>
          <w:rStyle w:val="CharStyle12"/>
        </w:rPr>
        <w:t>А.С. Гелмутдинова</w:t>
      </w:r>
    </w:p>
    <w:p>
      <w:pPr>
        <w:pStyle w:val="Style21"/>
        <w:keepNext w:val="0"/>
        <w:keepLines w:val="0"/>
        <w:widowControl w:val="0"/>
        <w:shd w:val="clear" w:color="auto" w:fill="auto"/>
        <w:bidi w:val="0"/>
        <w:spacing w:before="0" w:after="0" w:line="266" w:lineRule="auto"/>
        <w:ind w:right="0" w:firstLine="0"/>
        <w:jc w:val="left"/>
      </w:pPr>
      <w:r>
        <w:rPr>
          <w:rStyle w:val="CharStyle22"/>
        </w:rPr>
        <w:t xml:space="preserve">Кому выдан: </w:t>
      </w:r>
      <w:r>
        <w:rPr>
          <w:rStyle w:val="CharStyle22"/>
          <w:color w:val="000000"/>
        </w:rPr>
        <w:t>ГЕЛМУТДИНОВА АНАСТАСИЯ СЕРГЕЕВНА</w:t>
      </w:r>
      <w:r>
        <w:rPr>
          <w:rStyle w:val="CharStyle22"/>
          <w:color w:val="000000"/>
        </w:rPr>
        <w:t xml:space="preserve"> </w:t>
      </w:r>
      <w:r>
        <w:rPr>
          <w:rStyle w:val="CharStyle22"/>
        </w:rPr>
        <w:t xml:space="preserve">Сертификат </w:t>
      </w:r>
      <w:r>
        <w:rPr>
          <w:rStyle w:val="CharStyle22"/>
          <w:color w:val="2A2A2A"/>
        </w:rPr>
        <w:t xml:space="preserve">№ </w:t>
      </w:r>
      <w:r>
        <w:rPr>
          <w:rStyle w:val="CharStyle22"/>
        </w:rPr>
        <w:t>723501СС21703599976371</w:t>
      </w:r>
      <w:r>
        <w:rPr>
          <w:rStyle w:val="CharStyle22"/>
          <w:lang w:val="en-US" w:eastAsia="en-US"/>
        </w:rPr>
        <w:t>4F5C652689</w:t>
      </w:r>
    </w:p>
    <w:p>
      <w:pPr>
        <w:pStyle w:val="Style21"/>
        <w:keepNext w:val="0"/>
        <w:keepLines w:val="0"/>
        <w:widowControl w:val="0"/>
        <w:shd w:val="clear" w:color="auto" w:fill="auto"/>
        <w:bidi w:val="0"/>
        <w:spacing w:before="0" w:after="1220" w:line="266" w:lineRule="auto"/>
        <w:ind w:right="0" w:firstLine="0"/>
        <w:jc w:val="left"/>
      </w:pPr>
      <w:r>
        <w:rPr>
          <w:rStyle w:val="CharStyle22"/>
        </w:rPr>
        <w:t>Действителен с 09.02.2026 по 05.05.2027</w:t>
      </w:r>
    </w:p>
    <w:p>
      <w:pPr>
        <w:pStyle w:val="Style26"/>
        <w:keepNext w:val="0"/>
        <w:keepLines w:val="0"/>
        <w:widowControl w:val="0"/>
        <w:shd w:val="clear" w:color="auto" w:fill="auto"/>
        <w:bidi w:val="0"/>
        <w:spacing w:before="0" w:line="240" w:lineRule="auto"/>
        <w:ind w:left="0" w:right="0" w:firstLine="0"/>
        <w:jc w:val="left"/>
      </w:pPr>
      <w:r>
        <w:rPr>
          <w:rStyle w:val="CharStyle27"/>
        </w:rPr>
        <w:t>Исп.Мацнева М.О. тел.8(495)784-75-05</w:t>
      </w:r>
    </w:p>
    <w:sectPr>
      <w:footnotePr>
        <w:pos w:val="pageBottom"/>
        <w:numFmt w:val="decimal"/>
        <w:numRestart w:val="continuous"/>
      </w:footnotePr>
      <w:type w:val="continuous"/>
      <w:pgSz w:w="11900" w:h="16840"/>
      <w:pgMar w:top="1479" w:right="546" w:bottom="1479"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10214610</wp:posOffset>
              </wp:positionV>
              <wp:extent cx="737870" cy="106680"/>
              <wp:wrapNone/>
              <wp:docPr id="4" name="Shape 4"/>
              <a:graphic xmlns:a="http://schemas.openxmlformats.org/drawingml/2006/main">
                <a:graphicData uri="http://schemas.microsoft.com/office/word/2010/wordprocessingShape">
                  <wps:wsp>
                    <wps:cNvSpPr txBox="1"/>
                    <wps:spPr>
                      <a:xfrm>
                        <a:ext cx="73787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2026-22933</w:t>
                          </w:r>
                        </w:p>
                      </w:txbxContent>
                    </wps:txbx>
                    <wps:bodyPr wrap="none" lIns="0" tIns="0" rIns="0" bIns="0">
                      <a:spAutoFit/>
                    </wps:bodyPr>
                  </wps:wsp>
                </a:graphicData>
              </a:graphic>
            </wp:anchor>
          </w:drawing>
        </mc:Choice>
        <mc:Fallback>
          <w:pict>
            <v:shape id="_x0000_s1030" type="#_x0000_t202" style="position:absolute;margin-left:56.75pt;margin-top:804.30000000000007pt;width:58.100000000000001pt;height:8.4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2026-22933</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727075</wp:posOffset>
              </wp:positionH>
              <wp:positionV relativeFrom="page">
                <wp:posOffset>10100310</wp:posOffset>
              </wp:positionV>
              <wp:extent cx="722630" cy="103505"/>
              <wp:wrapNone/>
              <wp:docPr id="10" name="Shape 10"/>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2026-22933</w:t>
                          </w:r>
                        </w:p>
                      </w:txbxContent>
                    </wps:txbx>
                    <wps:bodyPr wrap="none" lIns="0" tIns="0" rIns="0" bIns="0">
                      <a:spAutoFit/>
                    </wps:bodyPr>
                  </wps:wsp>
                </a:graphicData>
              </a:graphic>
            </wp:anchor>
          </w:drawing>
        </mc:Choice>
        <mc:Fallback>
          <w:pict>
            <v:shape id="_x0000_s1036" type="#_x0000_t202" style="position:absolute;margin-left:57.25pt;margin-top:795.30000000000007pt;width:56.899999999999999pt;height:8.15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2026-22933</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727075</wp:posOffset>
              </wp:positionH>
              <wp:positionV relativeFrom="page">
                <wp:posOffset>10100310</wp:posOffset>
              </wp:positionV>
              <wp:extent cx="722630" cy="103505"/>
              <wp:wrapNone/>
              <wp:docPr id="16" name="Shape 16"/>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2026-22933</w:t>
                          </w:r>
                        </w:p>
                      </w:txbxContent>
                    </wps:txbx>
                    <wps:bodyPr wrap="none" lIns="0" tIns="0" rIns="0" bIns="0">
                      <a:spAutoFit/>
                    </wps:bodyPr>
                  </wps:wsp>
                </a:graphicData>
              </a:graphic>
            </wp:anchor>
          </w:drawing>
        </mc:Choice>
        <mc:Fallback>
          <w:pict>
            <v:shape id="_x0000_s1042" type="#_x0000_t202" style="position:absolute;margin-left:57.25pt;margin-top:795.30000000000007pt;width:56.899999999999999pt;height:8.1500000000000004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2026-22933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3923665</wp:posOffset>
              </wp:positionH>
              <wp:positionV relativeFrom="page">
                <wp:posOffset>238760</wp:posOffset>
              </wp:positionV>
              <wp:extent cx="67310" cy="69850"/>
              <wp:wrapNone/>
              <wp:docPr id="2" name="Shape 2"/>
              <a:graphic xmlns:a="http://schemas.openxmlformats.org/drawingml/2006/main">
                <a:graphicData uri="http://schemas.microsoft.com/office/word/2010/wordprocessingShape">
                  <wps:wsp>
                    <wps:cNvSpPr txBox="1"/>
                    <wps:spPr>
                      <a:xfrm>
                        <a:ext cx="6731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8.94999999999999pt;margin-top:18.800000000000001pt;width:5.2999999999999998pt;height:5.5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3924300</wp:posOffset>
              </wp:positionH>
              <wp:positionV relativeFrom="page">
                <wp:posOffset>501650</wp:posOffset>
              </wp:positionV>
              <wp:extent cx="76200" cy="69850"/>
              <wp:wrapNone/>
              <wp:docPr id="8" name="Shape 8"/>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34" type="#_x0000_t202" style="position:absolute;margin-left:309.pt;margin-top:39.5pt;width:6.pt;height:5.5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3923665</wp:posOffset>
              </wp:positionH>
              <wp:positionV relativeFrom="page">
                <wp:posOffset>238760</wp:posOffset>
              </wp:positionV>
              <wp:extent cx="67310" cy="69850"/>
              <wp:wrapNone/>
              <wp:docPr id="12" name="Shape 12"/>
              <a:graphic xmlns:a="http://schemas.openxmlformats.org/drawingml/2006/main">
                <a:graphicData uri="http://schemas.microsoft.com/office/word/2010/wordprocessingShape">
                  <wps:wsp>
                    <wps:cNvSpPr txBox="1"/>
                    <wps:spPr>
                      <a:xfrm>
                        <a:ext cx="6731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38" type="#_x0000_t202" style="position:absolute;margin-left:308.94999999999999pt;margin-top:18.800000000000001pt;width:5.2999999999999998pt;height:5.5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3924300</wp:posOffset>
              </wp:positionH>
              <wp:positionV relativeFrom="page">
                <wp:posOffset>501650</wp:posOffset>
              </wp:positionV>
              <wp:extent cx="76200" cy="69850"/>
              <wp:wrapNone/>
              <wp:docPr id="14" name="Shape 14"/>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40" type="#_x0000_t202" style="position:absolute;margin-left:309.pt;margin-top:39.5pt;width:6.pt;height:5.5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8"/>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10">
    <w:name w:val="Heading #1_"/>
    <w:basedOn w:val="DefaultParagraphFont"/>
    <w:link w:val="Style9"/>
    <w:rPr>
      <w:rFonts w:ascii="Times New Roman" w:eastAsia="Times New Roman" w:hAnsi="Times New Roman" w:cs="Times New Roman"/>
      <w:b w:val="0"/>
      <w:bCs w:val="0"/>
      <w:i w:val="0"/>
      <w:iCs w:val="0"/>
      <w:smallCaps w:val="0"/>
      <w:strike w:val="0"/>
      <w:sz w:val="30"/>
      <w:szCs w:val="30"/>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7">
    <w:name w:val="Picture caption_"/>
    <w:basedOn w:val="DefaultParagraphFont"/>
    <w:link w:val="Style16"/>
    <w:rPr>
      <w:rFonts w:ascii="Georgia" w:eastAsia="Georgia" w:hAnsi="Georgia" w:cs="Georgia"/>
      <w:b w:val="0"/>
      <w:bCs w:val="0"/>
      <w:i w:val="0"/>
      <w:iCs w:val="0"/>
      <w:smallCaps w:val="0"/>
      <w:strike w:val="0"/>
      <w:color w:val="2A2A2A"/>
      <w:sz w:val="11"/>
      <w:szCs w:val="11"/>
      <w:u w:val="none"/>
    </w:rPr>
  </w:style>
  <w:style w:type="character" w:customStyle="1" w:styleId="CharStyle20">
    <w:name w:val="Body text (4)_"/>
    <w:basedOn w:val="DefaultParagraphFont"/>
    <w:link w:val="Style19"/>
    <w:rPr>
      <w:rFonts w:ascii="Georgia" w:eastAsia="Georgia" w:hAnsi="Georgia" w:cs="Georgia"/>
      <w:b w:val="0"/>
      <w:bCs w:val="0"/>
      <w:i w:val="0"/>
      <w:iCs w:val="0"/>
      <w:smallCaps w:val="0"/>
      <w:strike w:val="0"/>
      <w:color w:val="E7E7E7"/>
      <w:sz w:val="12"/>
      <w:szCs w:val="12"/>
      <w:u w:val="none"/>
    </w:rPr>
  </w:style>
  <w:style w:type="character" w:customStyle="1" w:styleId="CharStyle22">
    <w:name w:val="Body text (2)_"/>
    <w:basedOn w:val="DefaultParagraphFont"/>
    <w:link w:val="Style21"/>
    <w:rPr>
      <w:rFonts w:ascii="Arial" w:eastAsia="Arial" w:hAnsi="Arial" w:cs="Arial"/>
      <w:b w:val="0"/>
      <w:bCs w:val="0"/>
      <w:i w:val="0"/>
      <w:iCs w:val="0"/>
      <w:smallCaps w:val="0"/>
      <w:strike w:val="0"/>
      <w:color w:val="444444"/>
      <w:sz w:val="12"/>
      <w:szCs w:val="12"/>
      <w:u w:val="none"/>
    </w:rPr>
  </w:style>
  <w:style w:type="character" w:customStyle="1" w:styleId="CharStyle27">
    <w:name w:val="Body text (5)_"/>
    <w:basedOn w:val="DefaultParagraphFont"/>
    <w:link w:val="Style26"/>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customStyle="1" w:styleId="Style9">
    <w:name w:val="Heading #1"/>
    <w:basedOn w:val="Normal"/>
    <w:link w:val="CharStyle10"/>
    <w:pPr>
      <w:widowControl w:val="0"/>
      <w:shd w:val="clear" w:color="auto" w:fill="auto"/>
      <w:jc w:val="center"/>
      <w:outlineLvl w:val="0"/>
    </w:pPr>
    <w:rPr>
      <w:rFonts w:ascii="Times New Roman" w:eastAsia="Times New Roman" w:hAnsi="Times New Roman" w:cs="Times New Roman"/>
      <w:b w:val="0"/>
      <w:bCs w:val="0"/>
      <w:i w:val="0"/>
      <w:iCs w:val="0"/>
      <w:smallCaps w:val="0"/>
      <w:strike w:val="0"/>
      <w:sz w:val="30"/>
      <w:szCs w:val="30"/>
      <w:u w:val="none"/>
    </w:rPr>
  </w:style>
  <w:style w:type="paragraph" w:styleId="Style11">
    <w:name w:val="Body text"/>
    <w:basedOn w:val="Normal"/>
    <w:link w:val="CharStyle12"/>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6">
    <w:name w:val="Picture caption"/>
    <w:basedOn w:val="Normal"/>
    <w:link w:val="CharStyle17"/>
    <w:pPr>
      <w:widowControl w:val="0"/>
      <w:shd w:val="clear" w:color="auto" w:fill="auto"/>
    </w:pPr>
    <w:rPr>
      <w:rFonts w:ascii="Georgia" w:eastAsia="Georgia" w:hAnsi="Georgia" w:cs="Georgia"/>
      <w:b w:val="0"/>
      <w:bCs w:val="0"/>
      <w:i w:val="0"/>
      <w:iCs w:val="0"/>
      <w:smallCaps w:val="0"/>
      <w:strike w:val="0"/>
      <w:color w:val="2A2A2A"/>
      <w:sz w:val="11"/>
      <w:szCs w:val="11"/>
      <w:u w:val="none"/>
    </w:rPr>
  </w:style>
  <w:style w:type="paragraph" w:customStyle="1" w:styleId="Style19">
    <w:name w:val="Body text (4)"/>
    <w:basedOn w:val="Normal"/>
    <w:link w:val="CharStyle20"/>
    <w:pPr>
      <w:widowControl w:val="0"/>
      <w:shd w:val="clear" w:color="auto" w:fill="auto"/>
      <w:spacing w:after="100"/>
      <w:jc w:val="center"/>
    </w:pPr>
    <w:rPr>
      <w:rFonts w:ascii="Georgia" w:eastAsia="Georgia" w:hAnsi="Georgia" w:cs="Georgia"/>
      <w:b w:val="0"/>
      <w:bCs w:val="0"/>
      <w:i w:val="0"/>
      <w:iCs w:val="0"/>
      <w:smallCaps w:val="0"/>
      <w:strike w:val="0"/>
      <w:color w:val="E7E7E7"/>
      <w:sz w:val="12"/>
      <w:szCs w:val="12"/>
      <w:u w:val="none"/>
    </w:rPr>
  </w:style>
  <w:style w:type="paragraph" w:customStyle="1" w:styleId="Style21">
    <w:name w:val="Body text (2)"/>
    <w:basedOn w:val="Normal"/>
    <w:link w:val="CharStyle22"/>
    <w:pPr>
      <w:widowControl w:val="0"/>
      <w:shd w:val="clear" w:color="auto" w:fill="auto"/>
      <w:ind w:left="3560"/>
    </w:pPr>
    <w:rPr>
      <w:rFonts w:ascii="Arial" w:eastAsia="Arial" w:hAnsi="Arial" w:cs="Arial"/>
      <w:b w:val="0"/>
      <w:bCs w:val="0"/>
      <w:i w:val="0"/>
      <w:iCs w:val="0"/>
      <w:smallCaps w:val="0"/>
      <w:strike w:val="0"/>
      <w:color w:val="444444"/>
      <w:sz w:val="12"/>
      <w:szCs w:val="12"/>
      <w:u w:val="none"/>
    </w:rPr>
  </w:style>
  <w:style w:type="paragraph" w:customStyle="1" w:styleId="Style26">
    <w:name w:val="Body text (5)"/>
    <w:basedOn w:val="Normal"/>
    <w:link w:val="CharStyle27"/>
    <w:pPr>
      <w:widowControl w:val="0"/>
      <w:shd w:val="clear" w:color="auto" w:fill="auto"/>
      <w:spacing w:after="2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2.pn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image" Target="media/image3.jpeg"/><Relationship Id="rId20" Type="http://schemas.openxmlformats.org/officeDocument/2006/relationships/image" Target="media/image3.jpeg" TargetMode="External"/><Relationship Id="rId21" Type="http://schemas.openxmlformats.org/officeDocument/2006/relationships/image" Target="media/image4.jpeg"/><Relationship Id="rId22" Type="http://schemas.openxmlformats.org/officeDocument/2006/relationships/image" Target="media/image4.jpeg" TargetMode="External"/><Relationship Id="rId23" Type="http://schemas.openxmlformats.org/officeDocument/2006/relationships/image" Target="media/image5.jpeg"/><Relationship Id="rId24" Type="http://schemas.openxmlformats.org/officeDocument/2006/relationships/image" Target="media/image5.jpeg" TargetMode="External"/></Relationships>
</file>