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3.05.2026</w:t>
      </w:r>
      <w:r>
        <w:fldChar w:fldCharType="end"/>
      </w:r>
      <w:r>
        <w:rPr>
          <w:rStyle w:val="CharStyle10"/>
        </w:rPr>
        <w:tab/>
        <w:t>№ 20146/26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ГБУЗ «ДС </w:t>
      </w:r>
      <w:r>
        <w:rPr>
          <w:rStyle w:val="CharStyle12"/>
          <w:lang w:val="en-US" w:eastAsia="en-US"/>
        </w:rPr>
        <w:t xml:space="preserve">№ 68 </w:t>
      </w:r>
      <w:r>
        <w:rPr>
          <w:rStyle w:val="CharStyle12"/>
        </w:rPr>
        <w:t>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"mailto:GordukalovaMA@zdrav.mos.ru" </w:instrText>
      </w:r>
      <w:r>
        <w:fldChar w:fldCharType="separate"/>
      </w:r>
      <w:r>
        <w:rPr>
          <w:rStyle w:val="CharStyle12"/>
          <w:lang w:val="en-US" w:eastAsia="en-US"/>
        </w:rPr>
        <w:t>GordukalovaMA@zdrav.mos.ru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«Хозбытхим 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"mailto:Hozbyt604@mail.ru" </w:instrText>
      </w:r>
      <w:r>
        <w:fldChar w:fldCharType="separate"/>
      </w:r>
      <w:r>
        <w:rPr>
          <w:rStyle w:val="CharStyle12"/>
          <w:lang w:val="en-US" w:eastAsia="en-US"/>
        </w:rPr>
        <w:t>Hozbyt604@mail.ru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АО«ЕЭТП»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1827" w:bottom="708" w:left="1293" w:header="0" w:footer="3" w:gutter="0"/>
          <w:pgNumType w:start="1"/>
          <w:cols w:num="2" w:space="1285"/>
          <w:noEndnote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0" w:after="6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7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67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077/06/105-5713/2026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07.05.2026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tbl>
      <w:tblPr>
        <w:tblOverlap w:val="never"/>
        <w:jc w:val="center"/>
        <w:tblLayout w:type="fixed"/>
      </w:tblPr>
      <w:tblGrid>
        <w:gridCol w:w="3643"/>
        <w:gridCol w:w="6614"/>
      </w:tblGrid>
      <w:tr>
        <w:trPr>
          <w:trHeight w:val="1934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rStyle w:val="CharStyle15"/>
              </w:rPr>
              <w:t>Специалиста-эксперта А.С. Хлебниковой,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rStyle w:val="CharStyle15"/>
              </w:rPr>
              <w:t>Специалиста-эксперта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5"/>
              </w:rPr>
              <w:t>А.С. Гелмутдиновой, рассмотрение жалобы конференц-связи),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80" w:lineRule="auto"/>
              <w:ind w:left="0" w:right="0" w:firstLine="0"/>
              <w:jc w:val="center"/>
            </w:pPr>
            <w:r>
              <w:rPr>
                <w:rStyle w:val="CharStyle15"/>
              </w:rPr>
              <w:t>отдела обжалования государственных закупок отдела обжалования государственных закупок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80" w:lineRule="auto"/>
              <w:ind w:left="0" w:right="0" w:firstLine="0"/>
              <w:jc w:val="right"/>
            </w:pPr>
            <w:r>
              <w:rPr>
                <w:rStyle w:val="CharStyle15"/>
              </w:rPr>
              <w:t>проводилось дистанционно (посредством видео-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820"/>
        <w:jc w:val="both"/>
      </w:pPr>
      <w:r>
        <w:rPr>
          <w:rStyle w:val="CharStyle12"/>
        </w:rPr>
        <w:t xml:space="preserve">ГБУЗ «ДС </w:t>
      </w:r>
      <w:r>
        <w:rPr>
          <w:rStyle w:val="CharStyle12"/>
          <w:lang w:val="en-US" w:eastAsia="en-US"/>
        </w:rPr>
        <w:t xml:space="preserve">№ 68 </w:t>
      </w:r>
      <w:r>
        <w:rPr>
          <w:rStyle w:val="CharStyle12"/>
        </w:rPr>
        <w:t xml:space="preserve">ДЗМ»: М.А. Гордукаловой (дов.№Б/Н от </w:t>
      </w:r>
      <w:r>
        <w:rPr>
          <w:rStyle w:val="CharStyle12"/>
          <w:lang w:val="en-US" w:eastAsia="en-US"/>
        </w:rPr>
        <w:t xml:space="preserve">05.06.2025) </w:t>
      </w:r>
      <w:r>
        <w:rPr>
          <w:rStyle w:val="CharStyle12"/>
        </w:rPr>
        <w:t xml:space="preserve">(до переноса), С.В. Калининой (дов.№Б/Н от </w:t>
      </w:r>
      <w:r>
        <w:rPr>
          <w:rStyle w:val="CharStyle12"/>
          <w:lang w:val="en-US" w:eastAsia="en-US"/>
        </w:rPr>
        <w:t xml:space="preserve">07.05.2026) </w:t>
      </w:r>
      <w:r>
        <w:rPr>
          <w:rStyle w:val="CharStyle12"/>
        </w:rPr>
        <w:t>(после переноса)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820"/>
        <w:jc w:val="both"/>
      </w:pPr>
      <w:r>
        <w:rPr>
          <w:rStyle w:val="CharStyle12"/>
        </w:rPr>
        <w:t xml:space="preserve">ООО «Хозбытхим ТП»:А.Г. Абликова (дов.№Б/Н от </w:t>
      </w:r>
      <w:r>
        <w:rPr>
          <w:rStyle w:val="CharStyle12"/>
          <w:lang w:val="en-US" w:eastAsia="en-US"/>
        </w:rPr>
        <w:t xml:space="preserve">12.01.2026) </w:t>
      </w:r>
      <w:r>
        <w:rPr>
          <w:rStyle w:val="CharStyle12"/>
        </w:rPr>
        <w:t>(до и после переноса),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«Хозбытхим ТП»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«ДС </w:t>
      </w:r>
      <w:r>
        <w:rPr>
          <w:rStyle w:val="CharStyle12"/>
          <w:lang w:val="en-US" w:eastAsia="en-US"/>
        </w:rPr>
        <w:t xml:space="preserve">№ 68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хозяйственных товаров для нужд ГБУЗ «ДС </w:t>
      </w:r>
      <w:r>
        <w:rPr>
          <w:rStyle w:val="CharStyle12"/>
          <w:lang w:val="en-US" w:eastAsia="en-US"/>
        </w:rPr>
        <w:t xml:space="preserve">№ 68 </w:t>
      </w:r>
      <w:r>
        <w:rPr>
          <w:rStyle w:val="CharStyle12"/>
        </w:rPr>
        <w:t xml:space="preserve">ДЗМ» </w:t>
      </w:r>
      <w:r>
        <w:rPr>
          <w:rStyle w:val="CharStyle12"/>
          <w:lang w:val="en-US" w:eastAsia="en-US"/>
        </w:rPr>
        <w:t xml:space="preserve">2026 </w:t>
      </w:r>
      <w:r>
        <w:rPr>
          <w:rStyle w:val="CharStyle12"/>
        </w:rPr>
        <w:t xml:space="preserve">году. (Закупка </w:t>
      </w:r>
      <w:r>
        <w:rPr>
          <w:rStyle w:val="CharStyle12"/>
          <w:lang w:val="en-US" w:eastAsia="en-US"/>
        </w:rPr>
        <w:t xml:space="preserve">№ 0373200230526000031)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6" w:bottom="708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2540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254000</wp:posOffset>
            </wp:positionV>
            <wp:extent cx="1511935" cy="292735"/>
            <wp:wrapTopAndBottom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направлении проекта контракта, не соответствующего требованиям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частности, Заявитель указывает, что в печатной форме электронного Контракта внесены ссылки на товары противоречащие товарам предлагаемые Заявителем.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21.04.2026 </w:t>
      </w:r>
      <w:r>
        <w:rPr>
          <w:rStyle w:val="CharStyle12"/>
        </w:rPr>
        <w:t xml:space="preserve">№ИЭА1 участник закупки ООО «Хозбытхим ТП» с идентификационным номером заявки </w:t>
      </w:r>
      <w:r>
        <w:rPr>
          <w:rStyle w:val="CharStyle12"/>
          <w:lang w:val="en-US" w:eastAsia="en-US"/>
        </w:rPr>
        <w:t xml:space="preserve">3088358 </w:t>
      </w:r>
      <w:r>
        <w:rPr>
          <w:rStyle w:val="CharStyle12"/>
        </w:rPr>
        <w:t xml:space="preserve">признан победителем закупки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победитель).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основании ч.1 ст.34 Закона о контрактной системе </w:t>
      </w:r>
      <w:r>
        <w:rPr>
          <w:rStyle w:val="CharStyle12"/>
          <w:i/>
          <w:iCs/>
        </w:rPr>
        <w:t>контракт заключается на условиях, предусмотренных извещением</w:t>
      </w:r>
      <w:r>
        <w:rPr>
          <w:rStyle w:val="CharStyle12"/>
        </w:rPr>
        <w:t xml:space="preserve"> об осуществлении закупки или приглашением, документацией о закупке, </w:t>
      </w:r>
      <w:r>
        <w:rPr>
          <w:rStyle w:val="CharStyle12"/>
          <w:i/>
          <w:iCs/>
        </w:rPr>
        <w:t>заявкой участника закупки, с которым заключается контракт</w:t>
      </w:r>
      <w:r>
        <w:rPr>
          <w:rStyle w:val="CharStyle12"/>
        </w:rPr>
        <w:t>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ч.1 ст.51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Законом о контрактной системе, с иным участником закупки (далее в настоящей статье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участник закупки, с которым заключается контракт) не ранее чем через десять дней (если Законом о контрактной системе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пп.«а» п.2 ч.6 ст.51 Закона о контрактной системе,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о контрактной системе, обязаны подписать контракт в порядке, установленном ст.51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58" w:right="546" w:bottom="332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силу пп. «д» п.1 ч.2 ст.51 Закона о контрактной системе не позднее двух рабочих дней, следующих за днем размещения в единой информационной системе протоколов, указанных в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51 </w:t>
      </w:r>
      <w:r>
        <w:rPr>
          <w:rStyle w:val="CharStyle12"/>
        </w:rPr>
        <w:t xml:space="preserve">Закона о контрактной системе заказчик формирует с использованием единой информационной системы и размещает в </w:t>
      </w:r>
      <w:r>
        <w:rPr>
          <w:rStyle w:val="CharStyle12"/>
          <w:sz w:val="24"/>
          <w:szCs w:val="24"/>
          <w:lang w:val="en-US" w:eastAsia="en-US"/>
        </w:rPr>
        <w:t>2026-23142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п.5 ч.2 ст.42 Закона о контрактной системе, который должен содержать информацию, предусмотренную пп. «а», «б», «г», «е» и «п» п.1, пп. «а» и «б» п.2 ч.1 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системе, а также информацию, предусмотренную пп. «г» п.2 ч.2 ст.51 Закона о контрактной системе, в случае проведения электронного конкурса. При этом информация, предусмотренная пп. «а», «б», «г» и «е» п.1 ч.1 ст.43 Закона о контрактной системе, указывается с использованием единой информационной системы по состоянию на дату и время формирования проекта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пп. «а» п.2 ч.3 ст.51 Закона о контрактной системе не позднее пяти рабочих дней, следующих за днем размещения заказчиком в соответствии с ч.2 ст.51 Закона о контрактной системе проекта контракта, участник закупки, с которым заключается контракт, осуществляет одно из следующих действий: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 наличие разногласий в отношении информации, включенной в проект контракта в соответствии с п.1 ч.2 ст.51 Закона о контрактной системе,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Воспользовавшись правом, предусмотренным пп. «а» п.2 ч.3 ст.51 Закона о контрактной системе, Заявителем </w:t>
      </w:r>
      <w:r>
        <w:rPr>
          <w:rStyle w:val="CharStyle12"/>
          <w:lang w:val="en-US" w:eastAsia="en-US"/>
        </w:rPr>
        <w:t xml:space="preserve">28.04.2026 </w:t>
      </w:r>
      <w:r>
        <w:rPr>
          <w:rStyle w:val="CharStyle12"/>
        </w:rPr>
        <w:t>направлен в адрес Заказчика протокол разногласий, указывающий на несоответствие проекта государственного контракта сведениям из заявки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основании ч.4 ст.51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ч.3 ст.51 Закона о контрактной системе, заказчик осуществляет одно из следующих действий: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подписывает усиленной электронной подписью лица, имеющего право действовать от имени заказчика, и размещает в единой информационной системе и на электронной площадке (с использованием единой информационной системы) контракт (за исключением случаев, установленных настоящим Федеральным законом, и не ранее срока, предусмотренного ч.1 ст.51 Закона о контрактной системе) в случае, если участник закупки, с которым заключается контракт, разместил информацию и документы в соответствии с п.1 ч.3 ст.51 Закона о контрактной системе. 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контракта, действия, предусмотренные настоящим пунктом, осуществляются заказчиком при условии поступления на счет, на котором в соответствии с законодательством Российской Федерации учитываются операции со средствами, поступающими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с учетом информации, содержащейся в протоколе разногласий, размещенном участником закупки, с которым заключается контракт, в соответствии с п.2 ч.3 ст.51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п.2 ч.3 ст.51 Закона о контрактной системе. При таком размещении заказчик также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(без размещения на официальном сайте) информацию о причинах отказа учесть полностью или частично информацию, содержащуюся в протоколе разногласий. При этом информация, предусмотренная пп. «б» п.2 ч.3 ст.51 Закона о контрактной системе, подлежит обязательному учету.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Заказчиком размещен в ЕИС проект контракта без учета замечаний в протоколе разногласий.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ч.5 ст.51 Закона о контрактной системе не позднее одного рабочего дня, следующего за датой размещения заказчиком информации и документов в соответствии с п.2 или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ч.4 ст.51 Закона о контрактной системе, участник закупки, с которым заключается контракт, осуществляет действия, предусмотренные п.1 ч.3 ст.51 Закона о контрактной системе. Заказчик не позднее двух рабочих дней, следующих за днем осуществления таких действий участником закупки, размещает в единой информационной системе и на электронной площадке (с использованием единой информационной системы) подписанный усиленной электронной подписью лица, имеющего право действовать от имени заказчика, контракт (за исключением случаев, установленных настоящим Федеральным законом, и не ранее срока, предусмотренного ч.1 ст.51 Закона о контрактной системе). 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системе. В случаях, предусмотренных 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ст.103 Закона о контрактной системе, такой подписанный контракт не размещается на официальном сайте.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62" w:right="552" w:bottom="922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Комиссией Управления установлено, что Заказчиком в описании объекта закупки установлены требования к закупаемому товару, например, по товару: «Средство для очистки поверхностей Идентификатор: </w:t>
      </w:r>
      <w:r>
        <w:rPr>
          <w:rStyle w:val="CharStyle12"/>
          <w:lang w:val="en-US" w:eastAsia="en-US"/>
        </w:rPr>
        <w:t xml:space="preserve">210898571» </w:t>
      </w:r>
      <w:r>
        <w:rPr>
          <w:rStyle w:val="CharStyle12"/>
        </w:rPr>
        <w:t>установлено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требование к товарному знаку ПРОГРЕСС при этом Заказчиком допускается поставка эквивалентной продукции и установлены параметры эквивалентности. Одновременно с этим в разделе «Знаки обслуживания, фирменные наименования, патенты, полезные модели, промышленные образцы»: «Универсальное моющее средство ПРОГРЕСС Люкс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л М-07-1».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составе заявки Заявителя по позиции «Средство для очистки поверхностей Идентификатор: </w:t>
      </w:r>
      <w:r>
        <w:rPr>
          <w:rStyle w:val="CharStyle12"/>
          <w:lang w:val="en-US" w:eastAsia="en-US"/>
        </w:rPr>
        <w:t xml:space="preserve">210898571» </w:t>
      </w:r>
      <w:r>
        <w:rPr>
          <w:rStyle w:val="CharStyle12"/>
        </w:rPr>
        <w:t>представлен к поставке товар с товарным знаком Универсальное Моющее Средство ПРО, а также указаны характеристики предлагаемого к поставке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составе жалобы Заявитель указывает, что в направленном Заявителю проекте государственного контракта, Заказчиком, например, помимо указанного в составе заявки по позиции «Средство для очистки поверхностей Идентификатор: </w:t>
      </w:r>
      <w:r>
        <w:rPr>
          <w:rStyle w:val="CharStyle12"/>
          <w:lang w:val="en-US" w:eastAsia="en-US"/>
        </w:rPr>
        <w:t xml:space="preserve">210898571» </w:t>
      </w:r>
      <w:r>
        <w:rPr>
          <w:rStyle w:val="CharStyle12"/>
        </w:rPr>
        <w:t xml:space="preserve">товарного знака Универсальное Моющее Средство ПРО указано также Универсальное моющее средство ПРОГРЕСС Люкс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л М-07-1, что противоречит предложению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что, указание на «Универсальное моющее средство ПРОГРЕСС Люкс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л М-07-1» перешло в структурированный электронный контракт из извещения, поскольку Заказчиком были указаны также сведения о знаках обслуживания, фирменных наименованиях, патентах, полезных моделях, промышленных образцах.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Представитель Заказчика также пояснил, что в целях разрешения возникшей проблемы были направлены обращения в службы технической поддержки ЕАИСТа и ЕИС.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Управления отмечает, что исходя из положений ст. </w:t>
      </w:r>
      <w:r>
        <w:rPr>
          <w:rStyle w:val="CharStyle12"/>
          <w:lang w:val="en-US" w:eastAsia="en-US"/>
        </w:rPr>
        <w:t xml:space="preserve">34 </w:t>
      </w:r>
      <w:r>
        <w:rPr>
          <w:rStyle w:val="CharStyle12"/>
        </w:rPr>
        <w:t>Закона о контрактной системе электронный контракт формируется на основании сведений содержащихся в извещении, а также сведений содержащихся в составе заявки участника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основании вышеизложенного, а также с учетом представленных документов и сведений, пояснений Заказчика и Заявителя, Комиссия Управления приходит к выводу об отсутствии нарушений в действиях Заказчика при направлении проекта государственного контракта победителю закупочной процедуры.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Таким образом, Комиссия Управления приходит к выводу, что данный довод жалобы Заявителя не нашел своего подтверждения и является необоснованным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Между тем в ходе внеплановой проверки действий Заказчика Комиссией Управления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 w:firstLine="720"/>
        <w:jc w:val="both"/>
        <w:rPr>
          <w:sz w:val="24"/>
          <w:szCs w:val="24"/>
        </w:rPr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279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На основании п.1 ч.2 ст.42 Закона о контрактной системе извещение об осуществлении закупки, если иное не предусмотрено Законом о контрактной </w:t>
      </w:r>
      <w:r>
        <w:rPr>
          <w:rStyle w:val="CharStyle12"/>
          <w:sz w:val="24"/>
          <w:szCs w:val="24"/>
          <w:lang w:val="en-US" w:eastAsia="en-US"/>
        </w:rPr>
        <w:t>2026-23142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Комиссией Управления установлено, что Заказчиком в разделе «Знаки обслуживания, фирменные наименования, патенты, полезные модели, промышленные образцы» указаны адресные ссылки из информационно</w:t>
        <w:softHyphen/>
        <w:t>телекоммуникационной сети «Интернет».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Согласно пояснениям представителя Заказчика в разделе «Знаки обслуживания, фирменные наименования, патенты, полезные модели, промышленные образцы» отображена информация указывающая на конкретный товар, для того что бы участники Закупки имели представление о потребности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Комиссия управления отмечает, что, в частности, по товару Средство чистящее для сантехники Идентификатор: </w:t>
      </w:r>
      <w:r>
        <w:rPr>
          <w:rStyle w:val="CharStyle12"/>
          <w:lang w:val="en-US" w:eastAsia="en-US"/>
        </w:rPr>
        <w:t xml:space="preserve">210898553, </w:t>
      </w:r>
      <w:r>
        <w:rPr>
          <w:rStyle w:val="CharStyle12"/>
        </w:rPr>
        <w:t xml:space="preserve">в разделе «Знаки обслуживания, фирменные наименования, патенты, полезные модели, промышленные образцы» указана следующая информация: Чистящий блок для туалета </w:t>
      </w:r>
      <w:r>
        <w:rPr>
          <w:rStyle w:val="CharStyle12"/>
          <w:lang w:val="en-US" w:eastAsia="en-US"/>
        </w:rPr>
        <w:t xml:space="preserve">Bref </w:t>
      </w:r>
      <w:r>
        <w:rPr>
          <w:rStyle w:val="CharStyle12"/>
        </w:rPr>
        <w:t xml:space="preserve">Сила-актив «Лимонная свежесть» 4х50г </w:t>
      </w:r>
      <w:r>
        <w:fldChar w:fldCharType="begin"/>
      </w:r>
      <w:r>
        <w:rPr/>
        <w:instrText> HYPERLINK "https://market.yandex.ru/cc/94VjuA" </w:instrText>
      </w:r>
      <w:r>
        <w:fldChar w:fldCharType="separate"/>
      </w:r>
      <w:r>
        <w:rPr>
          <w:rStyle w:val="CharStyle12"/>
          <w:lang w:val="en-US" w:eastAsia="en-US"/>
        </w:rPr>
        <w:t>https://market.yandex.ru/cc/94VjuA</w:t>
      </w:r>
      <w:r>
        <w:fldChar w:fldCharType="end"/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>вместе с тем данная информация по своей сути не является знаком обслуживания и фирменным наименованием.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Кроме того исходя из положений п.1 ч.1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На основании вышеизложенного, Комиссия Управления приходит к выводу о нарушении Заказчиком п.1 ч.1 ст.33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.Признать жалобу ООО «Хозбытхим ТП» на действия ГБУЗ «ДС </w:t>
      </w:r>
      <w:r>
        <w:rPr>
          <w:rStyle w:val="CharStyle12"/>
          <w:lang w:val="en-US" w:eastAsia="en-US"/>
        </w:rPr>
        <w:t xml:space="preserve">№ 68 </w:t>
      </w:r>
      <w:r>
        <w:rPr>
          <w:rStyle w:val="CharStyle12"/>
        </w:rPr>
        <w:t>ДЗМ»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.Признать в действиях Заказчика нарушение п.1 ч.1 ст.33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.Выдать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1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6"/>
          <w:footerReference w:type="default" r:id="rId17"/>
          <w:footnotePr>
            <w:pos w:val="pageBottom"/>
            <w:numFmt w:val="decimal"/>
            <w:numRestart w:val="continuous"/>
          </w:footnotePr>
          <w:pgSz w:w="11900" w:h="16840"/>
          <w:pgMar w:top="1162" w:right="533" w:bottom="1330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67640" distL="0" distR="0" simplePos="0" relativeHeight="125829379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149999999999999pt;margin-top:26.pt;width:145.20000000000002pt;height:19.900000000000002pt;z-index:-125829374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490" distB="0" distL="0" distR="0" simplePos="0" relativeHeight="125829381" behindDoc="0" locked="0" layoutInCell="1" allowOverlap="1">
                <wp:simplePos x="0" y="0"/>
                <wp:positionH relativeFrom="page">
                  <wp:posOffset>3667760</wp:posOffset>
                </wp:positionH>
                <wp:positionV relativeFrom="paragraph">
                  <wp:posOffset>491490</wp:posOffset>
                </wp:positionV>
                <wp:extent cx="1722120" cy="25908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9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9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8.80000000000001pt;margin-top:38.700000000000003pt;width:135.59999999999999pt;height:20.400000000000002pt;z-index:-125829372;mso-wrap-distance-left:0;mso-wrap-distance-top:38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9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9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67640" distL="0" distR="0" simplePos="0" relativeHeight="125829383" behindDoc="0" locked="0" layoutInCell="1" allowOverlap="1">
                <wp:simplePos x="0" y="0"/>
                <wp:positionH relativeFrom="page">
                  <wp:posOffset>5908040</wp:posOffset>
                </wp:positionH>
                <wp:positionV relativeFrom="paragraph">
                  <wp:posOffset>330200</wp:posOffset>
                </wp:positionV>
                <wp:extent cx="1307465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65.19999999999999pt;margin-top:26.pt;width:102.95pt;height:19.900000000000002pt;z-index:-125829370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33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A2A2A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2"/>
        </w:rPr>
        <w:t>Действителен с 19.05.2025 по 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133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1290" distB="0" distL="0" distR="0" simplePos="0" relativeHeight="125829385" behindDoc="0" locked="0" layoutInCell="1" allowOverlap="1">
                <wp:simplePos x="0" y="0"/>
                <wp:positionH relativeFrom="page">
                  <wp:posOffset>3667125</wp:posOffset>
                </wp:positionH>
                <wp:positionV relativeFrom="paragraph">
                  <wp:posOffset>161290</wp:posOffset>
                </wp:positionV>
                <wp:extent cx="1722120" cy="25908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9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9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8.75pt;margin-top:12.700000000000001pt;width:135.59999999999999pt;height:20.400000000000002pt;z-index:-125829368;mso-wrap-distance-left:0;mso-wrap-distance-top:12.7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9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9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67640" distL="0" distR="0" simplePos="0" relativeHeight="125829387" behindDoc="0" locked="0" layoutInCell="1" allowOverlap="1">
                <wp:simplePos x="0" y="0"/>
                <wp:positionH relativeFrom="page">
                  <wp:posOffset>5901055</wp:posOffset>
                </wp:positionH>
                <wp:positionV relativeFrom="paragraph">
                  <wp:posOffset>0</wp:posOffset>
                </wp:positionV>
                <wp:extent cx="131699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А.С. Хлебникова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64.65000000000003pt;margin-top:0;width:103.7pt;height:19.900000000000002pt;z-index:-125829366;mso-wrap-distance-left:0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А.С. Хлебникова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33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ХЛЕБНИКОВА АНАСТАСИЯ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A2A2A"/>
        </w:rPr>
        <w:t xml:space="preserve">№ </w:t>
      </w:r>
      <w:r>
        <w:rPr>
          <w:rStyle w:val="CharStyle22"/>
          <w:lang w:val="en-US" w:eastAsia="en-US"/>
        </w:rPr>
        <w:t>00BDC586F2C22E864181858031D16A1</w:t>
      </w:r>
      <w:r>
        <w:rPr>
          <w:rStyle w:val="CharStyle22"/>
        </w:rPr>
        <w:t>113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>Действителен с 31.10.2025 по 24.01.2027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133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38150" distB="0" distL="0" distR="0" simplePos="0" relativeHeight="125829389" behindDoc="0" locked="0" layoutInCell="1" allowOverlap="1">
                <wp:simplePos x="0" y="0"/>
                <wp:positionH relativeFrom="page">
                  <wp:posOffset>3667125</wp:posOffset>
                </wp:positionH>
                <wp:positionV relativeFrom="paragraph">
                  <wp:posOffset>438150</wp:posOffset>
                </wp:positionV>
                <wp:extent cx="1722120" cy="25908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9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9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8.75pt;margin-top:34.5pt;width:135.59999999999999pt;height:20.400000000000002pt;z-index:-125829364;mso-wrap-distance-left:0;mso-wrap-distance-top:34.5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9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9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91" behindDoc="0" locked="0" layoutInCell="1" allowOverlap="1">
                <wp:simplePos x="0" y="0"/>
                <wp:positionH relativeFrom="page">
                  <wp:posOffset>5739765</wp:posOffset>
                </wp:positionH>
                <wp:positionV relativeFrom="paragraph">
                  <wp:posOffset>279400</wp:posOffset>
                </wp:positionV>
                <wp:extent cx="1478280" cy="2501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82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А.С. Гелмутдинова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51.94999999999999pt;margin-top:22.pt;width:116.40000000000001pt;height:19.699999999999999pt;z-index:-125829362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А.С. Гелмутдинова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16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320" w:line="266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ГЕЛМУТДИНОВА АНАСТАСИЯ СЕРГЕЕВНА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A2A2A"/>
        </w:rPr>
        <w:t xml:space="preserve">№ </w:t>
      </w:r>
      <w:r>
        <w:rPr>
          <w:rStyle w:val="CharStyle22"/>
        </w:rPr>
        <w:t>723501СС21703599976371</w:t>
      </w:r>
      <w:r>
        <w:rPr>
          <w:rStyle w:val="CharStyle22"/>
          <w:lang w:val="en-US" w:eastAsia="en-US"/>
        </w:rPr>
        <w:t xml:space="preserve">4F5C652689 </w:t>
      </w:r>
      <w:r>
        <w:rPr>
          <w:rStyle w:val="CharStyle22"/>
        </w:rPr>
        <w:t xml:space="preserve">Действителен с 09.02.2026 </w:t>
      </w:r>
      <w:r>
        <w:rPr>
          <w:rStyle w:val="CharStyle22"/>
          <w:color w:val="2A2A2A"/>
        </w:rPr>
        <w:t xml:space="preserve">по </w:t>
      </w:r>
      <w:r>
        <w:rPr>
          <w:rStyle w:val="CharStyle22"/>
        </w:rPr>
        <w:t>05.05.2027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pt;margin-top:804.30000000000007pt;width:57.85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10308590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149999999999999pt;margin-top:811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10308590</wp:posOffset>
              </wp:positionV>
              <wp:extent cx="722630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149999999999999pt;margin-top:811.70000000000005pt;width:56.899999999999999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pt;margin-top:37.5pt;width:6.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476250</wp:posOffset>
              </wp:positionV>
              <wp:extent cx="57785" cy="698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5000000000003pt;margin-top:37.5pt;width:4.54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pt;margin-top:37.5pt;width:6.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476250</wp:posOffset>
              </wp:positionV>
              <wp:extent cx="57785" cy="6985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9.15000000000003pt;margin-top:37.5pt;width:4.5499999999999998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Other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Body text (3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Other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Body text (3)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spacing w:after="290"/>
      <w:ind w:left="40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header" Target="header3.xml"/><Relationship Id="rId15" Type="http://schemas.openxmlformats.org/officeDocument/2006/relationships/footer" Target="footer4.xml"/><Relationship Id="rId16" Type="http://schemas.openxmlformats.org/officeDocument/2006/relationships/header" Target="header4.xml"/><Relationship Id="rId17" Type="http://schemas.openxmlformats.org/officeDocument/2006/relationships/footer" Target="footer5.xml"/></Relationships>
</file>