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42290" cy="5727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229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546" w:bottom="1226" w:left="109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8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</w:pPr>
      <w:r>
        <w:rPr>
          <w:rStyle w:val="CharStyle8"/>
          <w:b/>
          <w:bCs/>
        </w:rPr>
        <w:t>Федеральной антимонопольной службы</w:t>
        <w:br/>
        <w:t>по Тюменской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</w:rPr>
        <w:t>625048, г. Тюмень, ул. Холодильная, 58а</w:t>
        <w:br/>
        <w:t>тел. (3452) 50-31-55, факс (3452) 50-59-14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"mailto:to72@fas.gov.ra" </w:instrText>
      </w:r>
      <w:r>
        <w:fldChar w:fldCharType="separate"/>
      </w:r>
      <w:r>
        <w:rPr>
          <w:rStyle w:val="CharStyle8"/>
          <w:lang w:val="en-US" w:eastAsia="en-US"/>
        </w:rPr>
        <w:t>to72@fas.gov.ra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7.05.2026</w:t>
        <w:tab/>
      </w:r>
      <w:r>
        <w:fldChar w:fldCharType="end"/>
      </w:r>
      <w:r>
        <w:rPr>
          <w:rStyle w:val="CharStyle11"/>
        </w:rPr>
        <w:t>№ ЮВ/2884/26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8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3"/>
          <w:sz w:val="24"/>
          <w:szCs w:val="24"/>
        </w:rPr>
        <w:t>О направлении решения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ООО «РТС-тендер»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ул. набережная Тараса Шевченко д. 23А,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г. Москва, 121151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МКУ «Управление обеспечения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жизнедеятельности»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ул. Московский тракт д. 115, г. Тюмень, 625049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Ирбитское территориальное управление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Администрации Тюменского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муниципального округа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637" w:bottom="1217" w:left="1101" w:header="0" w:footer="3" w:gutter="0"/>
          <w:cols w:num="2" w:space="720" w:equalWidth="0">
            <w:col w:w="4339" w:space="888"/>
            <w:col w:w="4934"/>
          </w:cols>
          <w:noEndnote/>
          <w:rtlGutter w:val="0"/>
          <w:docGrid w:linePitch="360"/>
        </w:sectPr>
      </w:pPr>
      <w:r>
        <w:rPr>
          <w:rStyle w:val="CharStyle13"/>
        </w:rPr>
        <w:t>ул. Советская д. 1, с. Кулаково, Тюменская область, 625526</w:t>
      </w:r>
    </w:p>
    <w:p>
      <w:pPr>
        <w:widowControl w:val="0"/>
        <w:spacing w:line="91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rStyle w:val="CharStyle13"/>
        </w:rPr>
        <w:t>Филиал в Тюменской и Курганской областях ПАО «Ростелеком»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260" w:right="0" w:firstLine="0"/>
        <w:jc w:val="left"/>
      </w:pPr>
      <w:r>
        <w:rPr>
          <w:rStyle w:val="CharStyle13"/>
        </w:rPr>
        <w:t>ул. Республики д. 51, г. Тюмень, 625000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6466205</wp:posOffset>
                </wp:positionH>
                <wp:positionV relativeFrom="paragraph">
                  <wp:posOffset>254000</wp:posOffset>
                </wp:positionV>
                <wp:extent cx="743585" cy="24384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358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г. Тюмень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9.15000000000003pt;margin-top:20.pt;width:58.550000000000004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г. Тюмень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  <w:b/>
          <w:bCs/>
        </w:rPr>
        <w:t>РЕШЕНИЕ № 072/06/44/83/2026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05 мая 2026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– Комиссия, антимонопольный орган)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0"/>
        <w:jc w:val="both"/>
      </w:pPr>
      <w:r>
        <w:rPr>
          <w:rStyle w:val="CharStyle13"/>
        </w:rPr>
        <w:t>Председатель комиссии – заместитель руководителя управления Верзун Ю.Д., 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Заместитель начальника отдела контроля закупок Логинова Н.В.,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Главный специалист-эксперт отдела контроля закупок Назаров И.Г.,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с участием заказчика: руководителя Ирбитского территориального управления Администрации Тюменского муниципального округа (далее – заказчик) Шведовой Н.Г. действующей на основании распоряжения № 390 рк от 09.12.2025,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с участием уполномоченного учреждения: директора МКУ «Управление обеспечения жизнедеятельности» (далее – уполномоченное учреждение) Воскресенского А.С. действующего на основании устава,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с участием представителей заявителя: филиала в Тюменской и Курганской областях ПАО «Ростелеком» (далее – заявитель, Общество), Черновой А.А. по доверенности № 0508/29/82/25 от 19.05.2025, Панихиной М.А. по доверенности № 01/29/477/24 от 27.03.2024, Коровенковой А.В. по доверенности № 01/29/766/23 от 08.08.2023,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3"/>
        </w:rPr>
        <w:t xml:space="preserve">рассмотрев в дистанционном режиме посредством плагина видеоконференции </w:t>
      </w:r>
      <w:r>
        <w:rPr>
          <w:rStyle w:val="CharStyle13"/>
          <w:lang w:val="en-US" w:eastAsia="en-US"/>
        </w:rPr>
        <w:t xml:space="preserve">TrueConf </w:t>
      </w:r>
      <w:r>
        <w:rPr>
          <w:rStyle w:val="CharStyle13"/>
        </w:rPr>
        <w:t>в порядке, предусмотренном главой 6 Федерального закона от 05.04.2013 №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46" w:bottom="1217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7"/>
        </w:rPr>
        <w:t>1IIIIIIIIIIIIIIIIIIIIII]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по тексту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Закон о контрактной системе, Закон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44-ФЗ) жалобу филиала в Тюменской и Курганской областях ПАО «Ростелеком» на действия заказчика в лице Ирбитского территориального управления Администрации Тюменского муниципального округа при заключении контракта по результатам запроса котировок в электронной форме на оказание услуг по эксплуатационно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техническому обслуживанию устройств запуска и оконечных средств оповещения муниципальной автоматизированной системы централизованного оповещения населения в границах Ирбитского территориального управления Администрации Тюменского муниципального округа (реестровый номер закупки </w:t>
      </w:r>
      <w:r>
        <w:rPr>
          <w:rStyle w:val="CharStyle13"/>
          <w:lang w:val="en-US" w:eastAsia="en-US"/>
        </w:rPr>
        <w:t>0867300000926000062),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Управление Федеральной антимонопольной службы по Тюменской области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Тюменское УФАС России) поступила жалоба филиала в Тюменской и Курганской областях ПАО «Ростелеком» на действия заказчика в лице Ирбитского территориального управления Администрации Тюменского муниципального округа при заключении контракта по результатам запроса котировок в электронной форме на оказание услуг по эксплуатационно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техническому обслуживанию устройств запуска и оконечных средств оповещения муниципальной автоматизированной системы централизованного оповещения населения в границах Ирбитского территориального управления Администрации Тюменского муниципального округа.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Указанная жалоба заявителя признана соответствующей требованиям, предусмотренным статьёй </w:t>
      </w:r>
      <w:r>
        <w:rPr>
          <w:rStyle w:val="CharStyle13"/>
          <w:lang w:val="en-US" w:eastAsia="en-US"/>
        </w:rPr>
        <w:t xml:space="preserve">105 </w:t>
      </w:r>
      <w:r>
        <w:rPr>
          <w:rStyle w:val="CharStyle13"/>
        </w:rPr>
        <w:t xml:space="preserve">Закона о контрактной системе, и принята к рассмотрению. Во исполнение требований части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105 </w:t>
      </w:r>
      <w:r>
        <w:rPr>
          <w:rStyle w:val="CharStyle13"/>
        </w:rPr>
        <w:t xml:space="preserve">Закона о контрактной системе информация о содержании жалобы, времени и месте её рассмотрения размещены в реестре жалоб на официальном сайте Единой информационной системы в сфере закупок </w:t>
      </w:r>
      <w:r>
        <w:rPr>
          <w:rStyle w:val="CharStyle13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3"/>
          <w:lang w:val="en-US" w:eastAsia="en-US"/>
        </w:rPr>
        <w:t>www.zakupki.gov.ru</w:t>
      </w:r>
      <w:r>
        <w:fldChar w:fldCharType="end"/>
      </w:r>
      <w:r>
        <w:rPr>
          <w:rStyle w:val="CharStyle13"/>
          <w:lang w:val="en-US" w:eastAsia="en-US"/>
        </w:rPr>
        <w:t>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Из жалобы заявителя следует, что </w:t>
      </w:r>
      <w:r>
        <w:rPr>
          <w:rStyle w:val="CharStyle13"/>
          <w:lang w:val="en-US" w:eastAsia="en-US"/>
        </w:rPr>
        <w:t xml:space="preserve">28.04.2026 </w:t>
      </w:r>
      <w:r>
        <w:rPr>
          <w:rStyle w:val="CharStyle13"/>
        </w:rPr>
        <w:t xml:space="preserve">заказчиком на официальном сайте ЕИС в сфере закупок по результатам закупки размещен проект контракта в форме электронного документа, и в структурированной форме (цифровой контракт). Однако, победителем ПАО «Ростелеком» установлено, что проект контракта в структурированной форме, направленный заказчиком, соответствует условиям извещения об осуществлении закупки. Вместе с тем, проект контракта в форме отдельного файла электронного документа содержал иной предмет и условия, отличающиеся от проводимой закупки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оказание услуг на содержание автомобильных дорог и улиц населенных пунктов Ирбитского территориального управления администрации Тюменского муниципального округа в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 xml:space="preserve">г. (нанесение дорожной разметки). Заявитель полагает, что подписание контракта в форме электронного документа на условиях размещенного заказчиком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на содержание автомобильных дорог и улиц населенных пунктов Ирбитского территориального управления администрации Тюменского муниципального округа в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году (нанесение дорожной разметки), не представляется возможным ввиду отсутствия существенных условий в первоначально размещенном в составе извещения об осуществлении закупки проекте муниципального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360" w:lineRule="auto"/>
        <w:ind w:left="0" w:right="0" w:firstLine="740"/>
        <w:jc w:val="both"/>
        <w:rPr>
          <w:sz w:val="24"/>
          <w:szCs w:val="24"/>
        </w:rPr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497" w:left="1101" w:header="682" w:footer="69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Заказчиком представлены возражения на жалобу заявителя, указывает, что </w:t>
      </w:r>
      <w:r>
        <w:rPr>
          <w:rStyle w:val="CharStyle13"/>
          <w:sz w:val="24"/>
          <w:szCs w:val="24"/>
          <w:lang w:val="en-US" w:eastAsia="en-US"/>
        </w:rPr>
        <w:t>2026-3185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направление в адрес победителя проекта контракта в форме электронного документа с предметом и условиями отличных от условий проводимой закупки обусловлено технической ошибкой при размещении информации в ЕИС в сфере закупок. Учитывая отсутствие в рамках осуществления закупки способом запроса котировок возможности направления участником протокола разногласий, заказчик самостоятельно не смог устранить указанную ошибку.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Оператором электронной площадки ООО «РТС-тендер» на ранее направленный запрос Тюменского УФАС России представлены в электронном виде все заявки, поступившие на участие в закупке, которые приобщены к материалам проверки.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ходе контрольного мероприятия Комиссией Тюменского УФАС России были изучены документы и информация, полученные путем формирования запроса в Государственной информационной системе «Независимый регистратор»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ГИС «НР»):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извещение о проведении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протоколы, составленные в ходе проведения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заявки участников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иные документы и информация, полученные в Государственной информационной системе «Независимый регистратор».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Исследовав материалы дела, заслушав представителей сторон и оценив в совокупности представленные документы, Комиссия Тюменского УФАС России приходит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 материалов дела усматривается, что МКУ «Управление обеспечения жизнедеятельности» являясь уполномоченным учреждением, выступило организатором проведения запроса котировок в электронной форме на оказание услуг по эксплуатационно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техническому обслуживанию устройств запуска и оконечных средств оповещения муниципальной автоматизированной системы централизованного оповещения населения в границах Ирбитского территориального управления Администрации Тюменского муниципального округа, с начальной (максимальной) ценой контракта </w:t>
      </w:r>
      <w:r>
        <w:rPr>
          <w:rStyle w:val="CharStyle13"/>
          <w:lang w:val="en-US" w:eastAsia="en-US"/>
        </w:rPr>
        <w:t xml:space="preserve">924 000,00 </w:t>
      </w:r>
      <w:r>
        <w:rPr>
          <w:rStyle w:val="CharStyle13"/>
        </w:rPr>
        <w:t>рублей, в интересах заказчика Ирбитскоко территориального управления Администрации Тюменского муниципального округа.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Информация о закупке была размещена </w:t>
      </w:r>
      <w:r>
        <w:rPr>
          <w:rStyle w:val="CharStyle13"/>
          <w:lang w:val="en-US" w:eastAsia="en-US"/>
        </w:rPr>
        <w:t xml:space="preserve">17.04.2026 </w:t>
      </w:r>
      <w:r>
        <w:rPr>
          <w:rStyle w:val="CharStyle13"/>
        </w:rPr>
        <w:t xml:space="preserve">на официальном сайте ЕИС в сфере закупок: 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rStyle w:val="CharStyle13"/>
          <w:lang w:val="en-US" w:eastAsia="en-US"/>
        </w:rPr>
        <w:t>http://zakupki.gov.ru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rPr>
          <w:rStyle w:val="CharStyle13"/>
        </w:rPr>
        <w:t xml:space="preserve">с реестровым номером закупки </w:t>
      </w:r>
      <w:r>
        <w:rPr>
          <w:rStyle w:val="CharStyle13"/>
          <w:lang w:val="en-US" w:eastAsia="en-US"/>
        </w:rPr>
        <w:t>0867300000926000062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Адрес электронной площадки в информационно-телекоммуникационной сети «Интернет» определенной для проведения закупки </w:t>
      </w:r>
      <w:r>
        <w:fldChar w:fldCharType="begin"/>
      </w:r>
      <w:r>
        <w:rPr/>
        <w:instrText> HYPERLINK "http://www.rts-tender.ru" </w:instrText>
      </w:r>
      <w:r>
        <w:fldChar w:fldCharType="separate"/>
      </w:r>
      <w:r>
        <w:rPr>
          <w:rStyle w:val="CharStyle13"/>
          <w:lang w:val="en-US" w:eastAsia="en-US"/>
        </w:rPr>
        <w:t>http://www.rts-tender.ru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протоколу подведения итогов определения поставщика (подрядчика, исполнителя) </w:t>
      </w:r>
      <w:r>
        <w:rPr>
          <w:rStyle w:val="CharStyle13"/>
          <w:lang w:val="en-US" w:eastAsia="en-US"/>
        </w:rPr>
        <w:t xml:space="preserve">№ 0867300000926000062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27.04.2026, </w:t>
      </w:r>
      <w:r>
        <w:rPr>
          <w:rStyle w:val="CharStyle13"/>
        </w:rPr>
        <w:t xml:space="preserve">в связи с тем, что по окончании срока подачи заявок на участие в электронном запросе котировок была подана только одна заявка на участие в нем, на основании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 xml:space="preserve">44-ФЗ определение поставщика (подрядчика, исполнителя) признано несостоявшимся. По результатам подведения итогов определения поставщика (подрядчика, исполнителя) контракт заключается с участником закупки подавшим единственную заявку в лице ПАО «Ростелеком» (идентификационный номер </w:t>
      </w:r>
      <w:r>
        <w:rPr>
          <w:rStyle w:val="CharStyle13"/>
          <w:lang w:val="en-US" w:eastAsia="en-US"/>
        </w:rPr>
        <w:t>121097981).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Комиссией Тюменского УФАС России в ходе изучения информации, полученной из ГИС «Независимый регистратор» установлено, что заказчиком </w:t>
      </w:r>
      <w:r>
        <w:rPr>
          <w:rStyle w:val="CharStyle13"/>
          <w:lang w:val="en-US" w:eastAsia="en-US"/>
        </w:rPr>
        <w:t xml:space="preserve">28.04.2026 </w:t>
      </w:r>
      <w:r>
        <w:rPr>
          <w:rStyle w:val="CharStyle13"/>
        </w:rPr>
        <w:t>(время: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lang w:val="en-US" w:eastAsia="en-US"/>
        </w:rPr>
        <w:t xml:space="preserve">13:43:30) </w:t>
      </w:r>
      <w:r>
        <w:rPr>
          <w:rStyle w:val="CharStyle13"/>
        </w:rPr>
        <w:t>размещен для подписания ПАО «Ростелеком» проект муниципального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ПАО «Ростелеком» не стало осуществлять подписание размещенного заказчиком проекта контракта, поскольку в содержании проекта контракта в виде приложенного отдельного электронного файла под названием «МК </w:t>
      </w:r>
      <w:r>
        <w:rPr>
          <w:rStyle w:val="CharStyle13"/>
          <w:lang w:val="en-US" w:eastAsia="en-US"/>
        </w:rPr>
        <w:t xml:space="preserve">№0867300000926000062 РАСЦО.docx» </w:t>
      </w:r>
      <w:r>
        <w:rPr>
          <w:rStyle w:val="CharStyle13"/>
        </w:rPr>
        <w:t xml:space="preserve">имелись следующие положения, которые не соответствовали извещению об осуществлении закупки с реестровым номером </w:t>
      </w:r>
      <w:r>
        <w:rPr>
          <w:rStyle w:val="CharStyle13"/>
          <w:lang w:val="en-US" w:eastAsia="en-US"/>
        </w:rPr>
        <w:t>0867300000926000062.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Разделом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проекта контракта предусмотрено, что согласно настоящему контракту, подрядчик принимает на себя обязательства по заданию муниципального заказчика выполнить в соответствии с требованиями и условиями контракта работы по содержанию автомобильных дорог и улиц населенных пунктов Ирбитского территориального управления администрации Тюменского муниципального округа в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 xml:space="preserve">(нанесение дорожной разметки), в соответствии с техническим заданием, сметной документацией, показателями бесперебойности и безопасности движения, отсутствия на дороге дефектов и несоответствий элементов дороги нормативным требованиям (приложения </w:t>
      </w:r>
      <w:r>
        <w:rPr>
          <w:rStyle w:val="CharStyle13"/>
          <w:lang w:val="en-US" w:eastAsia="en-US"/>
        </w:rPr>
        <w:t xml:space="preserve">№ 1, 2, 3 </w:t>
      </w:r>
      <w:r>
        <w:rPr>
          <w:rStyle w:val="CharStyle13"/>
        </w:rPr>
        <w:t>к контракту), а муниципальный заказчик обязуется принять результат работ и оплатить выполненные работы в порядке и на условиях, предусмотренных настоящим контрактом.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12.3 </w:t>
      </w:r>
      <w:r>
        <w:rPr>
          <w:rStyle w:val="CharStyle13"/>
        </w:rPr>
        <w:t xml:space="preserve">проекта контракта предусмотрены приложения, являющееся неотъемлемой частью контракта: локальный сметный расчет (приложение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муниципальному контракту), показатели бесперебойности и безопасности движения (приложение </w:t>
      </w:r>
      <w:r>
        <w:rPr>
          <w:rStyle w:val="CharStyle13"/>
          <w:lang w:val="en-US" w:eastAsia="en-US"/>
        </w:rPr>
        <w:t xml:space="preserve">№ 3 </w:t>
      </w:r>
      <w:r>
        <w:rPr>
          <w:rStyle w:val="CharStyle13"/>
        </w:rPr>
        <w:t>к муниципальному контракту).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Приложением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>к муниципальному контракту предусмотрен локально</w:t>
        <w:softHyphen/>
        <w:t xml:space="preserve">сметный расчет на содержание автомобильных дорог и улиц населенных пунктов Ирбитского территориального управления администрации Тюменского муниципального округа в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г. (нанесение дорожной разметки).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Приложением </w:t>
      </w:r>
      <w:r>
        <w:rPr>
          <w:rStyle w:val="CharStyle13"/>
          <w:lang w:val="en-US" w:eastAsia="en-US"/>
        </w:rPr>
        <w:t xml:space="preserve">№ 3 </w:t>
      </w:r>
      <w:r>
        <w:rPr>
          <w:rStyle w:val="CharStyle13"/>
        </w:rPr>
        <w:t>к муниципальному контракту предусмотрены показатели бесперебойности и безопасности движения: случаи затруднения движения транспортных средств по вине подрядчика, случаи возникновения препятствий для движения, влияющих на уровень безопасности, по вине подрядчика.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Оценивая правомерность рассматриваемых действий заказчика при осуществлении процедуры заключения контракта Комиссия Тюменского УФАС России исходит из следующего.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Закона о контрактной системе предусмотрено, что закупка товара, работы, услуги для обеспечения государственных или муниципальных нужд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закупка)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совокупность действий,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>Закона о контрактной системе предусмотрено, что в случае наличия противоречий между данными, содержащимися в единой информационной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системе, и данными, содержащимися в информации и документах, направляемых участниками контрактной системы, приоритет имеет информация, содержащаяся в единой информационной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>Закона о контрактной системе предусмотрено, что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>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Закона о контрактной системе предусмотрено, что заказчики при осуществлении закупок применяют конкурентные способы определения поставщиков (подрядчиков, исполнителей)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конкурентные способы) или осуществляют закупки у единственного поставщика (подрядчика,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34 </w:t>
      </w:r>
      <w:r>
        <w:rPr>
          <w:rStyle w:val="CharStyle13"/>
        </w:rPr>
        <w:t>Закона о контрактной системе предусмотрено,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проект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Закона о контрактной системе предусмотрено, что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названным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50 </w:t>
      </w:r>
      <w:r>
        <w:rPr>
          <w:rStyle w:val="CharStyle13"/>
        </w:rPr>
        <w:t xml:space="preserve">Закона о контрактной системе предусмотрено, что заключение контракта по результатам проведения электронного запроса котировок осуществляется в порядке, установленном статьей </w:t>
      </w:r>
      <w:r>
        <w:rPr>
          <w:rStyle w:val="CharStyle13"/>
          <w:lang w:val="en-US" w:eastAsia="en-US"/>
        </w:rPr>
        <w:t xml:space="preserve">51 </w:t>
      </w:r>
      <w:r>
        <w:rPr>
          <w:rStyle w:val="CharStyle13"/>
        </w:rPr>
        <w:t>настоящего Федерального закона, с учетом следующих особенностей: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заказчик формирует и размещает в единой информационной системе и на электронной площадке (с использованием единой информационной системы) без своей подписи проект контракта не позднее одного рабочего дня, следующего за днем размещения в единой информационной системе протокола подведения итогов определения поставщика (подрядчика, исполнителя);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участник закупки, с которым заключается контракт, осуществляет действия, предусмотренные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51 </w:t>
      </w:r>
      <w:r>
        <w:rPr>
          <w:rStyle w:val="CharStyle13"/>
        </w:rPr>
        <w:t xml:space="preserve">настоящего Федерального закона, не позднее одного рабочего дня, следующего за днем осуществления заказчиком действий 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настоящей части;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заказчик осуществляет действия, предусмотренные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51 </w:t>
      </w:r>
      <w:r>
        <w:rPr>
          <w:rStyle w:val="CharStyle13"/>
        </w:rPr>
        <w:t xml:space="preserve">настоящего Федерального закона, не позднее одного рабочего дня, следующего за днем осуществления участником закупки, с которым заключается контракт, действий в соответствии с 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настоящей части, но не ранее чем через два рабочих дня,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следующих за днем размещения в единой информационной системе протокола подведения итогов определения поставщика (подрядчика, исполнителя);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осуществление действий, предусмотренных 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2, </w:t>
      </w: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3, </w:t>
      </w:r>
      <w:r>
        <w:rPr>
          <w:rStyle w:val="CharStyle13"/>
        </w:rPr>
        <w:t xml:space="preserve">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51 </w:t>
      </w:r>
      <w:r>
        <w:rPr>
          <w:rStyle w:val="CharStyle13"/>
        </w:rPr>
        <w:t>настоящего Федерального закона, не допускается.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51 </w:t>
      </w:r>
      <w:r>
        <w:rPr>
          <w:rStyle w:val="CharStyle13"/>
        </w:rPr>
        <w:t xml:space="preserve">Закона о контрактной системе предусмотрено, что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«а»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>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Подпунктом «а»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51 </w:t>
      </w:r>
      <w:r>
        <w:rPr>
          <w:rStyle w:val="CharStyle13"/>
        </w:rPr>
        <w:t xml:space="preserve">Закона о контрактной системе предусмотрено, что не позднее двух рабочих дней, следующих за днем размещения в единой информационной системе протоколов, указанных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настоящей статьи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настоящего Федерального закона, который должен содержать информацию, предусмотренную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30, </w:t>
      </w:r>
      <w:r>
        <w:rPr>
          <w:rStyle w:val="CharStyle13"/>
        </w:rPr>
        <w:t xml:space="preserve">пунктами </w:t>
      </w:r>
      <w:r>
        <w:rPr>
          <w:rStyle w:val="CharStyle13"/>
          <w:lang w:val="en-US" w:eastAsia="en-US"/>
        </w:rPr>
        <w:t xml:space="preserve">1, 2, 5 - 8, 10, 17, 18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20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соответствии с подпунктом «д»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51 </w:t>
      </w:r>
      <w:r>
        <w:rPr>
          <w:rStyle w:val="CharStyle13"/>
        </w:rPr>
        <w:t xml:space="preserve">Закона о контрактной системе не позднее двух рабочих дней, следующих за днем размещения в единой информационной системе протоколов, указанных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данной статьи,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названного Закона, который должен содержать информацию, предусмотренную в том числе подпунктом «а»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указанного Закона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системе, товарный знак (при наличии у товара товарного знака).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51 </w:t>
      </w:r>
      <w:r>
        <w:rPr>
          <w:rStyle w:val="CharStyle13"/>
        </w:rPr>
        <w:t>Закона о контрактной системе предусмотрено, что 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заказчика, в ЕИС.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Положения о порядке формирования и размещения информации 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документов в единой информационной системе в сфере закупок, о требованиях к их формам утвержденного Постановлением Правительства РФ от </w:t>
      </w:r>
      <w:r>
        <w:rPr>
          <w:rStyle w:val="CharStyle13"/>
          <w:lang w:val="en-US" w:eastAsia="en-US"/>
        </w:rPr>
        <w:t xml:space="preserve">27.01.2022 № 60 </w:t>
      </w:r>
      <w:r>
        <w:rPr>
          <w:rStyle w:val="CharStyle13"/>
        </w:rPr>
        <w:t>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Федерации» предусмотрено, что формирование информации и документов с использованием единой информационной системы осуществляется путем заполнения экранных форм веб</w:t>
        <w:softHyphen/>
        <w:t>интерфейса единой информационной системы или путем представления в единую информационную систему электронного документа, содержащего сформированную информацию, посредством информационного взаимодействия единой информационной системы с иными информационными системами, используемыми субъектами единой информационной системы.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соответствии с подпунктом «т» пункта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II </w:t>
      </w:r>
      <w:r>
        <w:rPr>
          <w:rStyle w:val="CharStyle13"/>
        </w:rPr>
        <w:t xml:space="preserve">Правил ведения реестра контрактов, заключенных заказчиками утвержденных Постановлением Правительства РФ от </w:t>
      </w:r>
      <w:r>
        <w:rPr>
          <w:rStyle w:val="CharStyle13"/>
          <w:lang w:val="en-US" w:eastAsia="en-US"/>
        </w:rPr>
        <w:t xml:space="preserve">27.01.2022 № 60 </w:t>
      </w:r>
      <w:r>
        <w:rPr>
          <w:rStyle w:val="CharStyle13"/>
        </w:rPr>
        <w:t>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Федерации» в реестр контрактов в соответствии с настоящими Правилами подлежит включению контракт (с прилагаемыми документами (при их наличии) в форме электронного документа, заключенный в соответствии с Федеральным законом по результатам проведения предусмотренных Федеральным законом электронных процедур.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Необходимо отметить, что требования о полноте, достоверности, непротиворечивости информации, размещаемой в ЕИС в сфере закупок, носят императивный характер и направлены на обеспечение принципов открытости, прозрачности, достоверности, отсутствия каких-либо противоречий в закупочной деятельности, исключение двусмысленности условий контракта и недопущение ущемления прав участников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В этой связи, Комиссия Тюменского УФАС России полагает верным утверждение заявителя о том, что ПАО «Ростелеком» объективно не имело правовой возможности осуществить подписание проекта контракта (в форме электронного документа), содержащего предмет и условия, отличающиеся от тех, на которые рассчитывал участник закупки, когда подавал заявку на участие в запросе котировок в электронной форме, что в последующем стало причиной для обращения заявителя с соответствующей жалобой в контрольный орган в сфере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3.2 </w:t>
      </w:r>
      <w:r>
        <w:rPr>
          <w:rStyle w:val="CharStyle13"/>
        </w:rPr>
        <w:t xml:space="preserve">Порядка взаимодействия уполномоченного учреждения с муниципальными заказчиками Тюменского муниципального округа (утв. распоряжением Администрации Тюменского муниципального округа </w:t>
      </w:r>
      <w:r>
        <w:rPr>
          <w:rStyle w:val="CharStyle13"/>
          <w:lang w:val="en-US" w:eastAsia="en-US"/>
        </w:rPr>
        <w:t xml:space="preserve">№ 109 </w:t>
      </w:r>
      <w:r>
        <w:rPr>
          <w:rStyle w:val="CharStyle13"/>
        </w:rPr>
        <w:t xml:space="preserve">ро от </w:t>
      </w:r>
      <w:r>
        <w:rPr>
          <w:rStyle w:val="CharStyle13"/>
          <w:lang w:val="en-US" w:eastAsia="en-US"/>
        </w:rPr>
        <w:t xml:space="preserve">11.02.2026) </w:t>
      </w:r>
      <w:r>
        <w:rPr>
          <w:rStyle w:val="CharStyle13"/>
        </w:rPr>
        <w:t>муниципальные заказчики самостоятельно обеспечивают заключение контрактов по результатам определения поставщиков (подрядчиков, исполнителей).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Таким образом, на заказчика в лице Ирбитского территориального управления Администрации Тюменского муниципального округа возложены полномочия по заключению муниципального контракта по результатам определения поставщика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(подрядчика,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 учетом изложенных обстоятельств Комиссия приходит к выводу, что Заказчиком при осуществлении процедуры заключения контракта в рамках проведения запроса котировок в электронной форме </w:t>
      </w:r>
      <w:r>
        <w:rPr>
          <w:rStyle w:val="CharStyle13"/>
          <w:lang w:val="en-US" w:eastAsia="en-US"/>
        </w:rPr>
        <w:t xml:space="preserve">№ 0867300000926000062 </w:t>
      </w:r>
      <w:r>
        <w:rPr>
          <w:rStyle w:val="CharStyle13"/>
        </w:rPr>
        <w:t xml:space="preserve">нарушены требования </w:t>
      </w:r>
      <w:r>
        <w:rPr>
          <w:rStyle w:val="CharStyle13"/>
          <w:b/>
          <w:bCs/>
        </w:rPr>
        <w:t xml:space="preserve">части </w:t>
      </w:r>
      <w:r>
        <w:rPr>
          <w:rStyle w:val="CharStyle13"/>
          <w:b/>
          <w:bCs/>
          <w:lang w:val="en-US" w:eastAsia="en-US"/>
        </w:rPr>
        <w:t xml:space="preserve">3 </w:t>
      </w:r>
      <w:r>
        <w:rPr>
          <w:rStyle w:val="CharStyle13"/>
          <w:b/>
          <w:bCs/>
        </w:rPr>
        <w:t xml:space="preserve">статьи </w:t>
      </w:r>
      <w:r>
        <w:rPr>
          <w:rStyle w:val="CharStyle13"/>
          <w:b/>
          <w:bCs/>
          <w:lang w:val="en-US" w:eastAsia="en-US"/>
        </w:rPr>
        <w:t xml:space="preserve">7, </w:t>
      </w:r>
      <w:r>
        <w:rPr>
          <w:rStyle w:val="CharStyle13"/>
          <w:b/>
          <w:bCs/>
        </w:rPr>
        <w:t xml:space="preserve">части </w:t>
      </w:r>
      <w:r>
        <w:rPr>
          <w:rStyle w:val="CharStyle13"/>
          <w:b/>
          <w:bCs/>
          <w:lang w:val="en-US" w:eastAsia="en-US"/>
        </w:rPr>
        <w:t xml:space="preserve">1 </w:t>
      </w:r>
      <w:r>
        <w:rPr>
          <w:rStyle w:val="CharStyle13"/>
          <w:b/>
          <w:bCs/>
        </w:rPr>
        <w:t xml:space="preserve">статьи </w:t>
      </w:r>
      <w:r>
        <w:rPr>
          <w:rStyle w:val="CharStyle13"/>
          <w:b/>
          <w:bCs/>
          <w:lang w:val="en-US" w:eastAsia="en-US"/>
        </w:rPr>
        <w:t xml:space="preserve">34, </w:t>
      </w:r>
      <w:r>
        <w:rPr>
          <w:rStyle w:val="CharStyle13"/>
          <w:b/>
          <w:bCs/>
        </w:rPr>
        <w:t xml:space="preserve">подпункта «а» пункта </w:t>
      </w:r>
      <w:r>
        <w:rPr>
          <w:rStyle w:val="CharStyle13"/>
          <w:b/>
          <w:bCs/>
          <w:lang w:val="en-US" w:eastAsia="en-US"/>
        </w:rPr>
        <w:t xml:space="preserve">1 </w:t>
      </w:r>
      <w:r>
        <w:rPr>
          <w:rStyle w:val="CharStyle13"/>
          <w:b/>
          <w:bCs/>
        </w:rPr>
        <w:t xml:space="preserve">части </w:t>
      </w:r>
      <w:r>
        <w:rPr>
          <w:rStyle w:val="CharStyle13"/>
          <w:b/>
          <w:bCs/>
          <w:lang w:val="en-US" w:eastAsia="en-US"/>
        </w:rPr>
        <w:t xml:space="preserve">2 </w:t>
      </w:r>
      <w:r>
        <w:rPr>
          <w:rStyle w:val="CharStyle13"/>
          <w:b/>
          <w:bCs/>
        </w:rPr>
        <w:t xml:space="preserve">статьи </w:t>
      </w:r>
      <w:r>
        <w:rPr>
          <w:rStyle w:val="CharStyle13"/>
          <w:b/>
          <w:bCs/>
          <w:lang w:val="en-US" w:eastAsia="en-US"/>
        </w:rPr>
        <w:t xml:space="preserve">51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 предусмотрено, что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Тюменского УФАС России учитывая существенный характер нарушения законодательства о контрактной системе полагает необходимым признать жалобу заявителя обоснованной и выдать в адрес заказчика, уполномоченного учреждения, оператора электронной площадки обязательное для исполнения предписание об отмене (аннулировании) действующей процедуры заключения муниципального контракта между заказчиком в лице Ирбитского территориального управления Администрации Тюменского муниципального округа и ПАО «Ростелеком» по закупке с реестровым номером извещения </w:t>
      </w:r>
      <w:r>
        <w:rPr>
          <w:rStyle w:val="CharStyle13"/>
          <w:lang w:val="en-US" w:eastAsia="en-US"/>
        </w:rPr>
        <w:t xml:space="preserve">0867300000926000062, </w:t>
      </w:r>
      <w:r>
        <w:rPr>
          <w:rStyle w:val="CharStyle13"/>
        </w:rPr>
        <w:t xml:space="preserve">заказчику заново инициировать процедуру заключения контракта с ПАО «Ростелеком», вследствие чего, заказчику необходимо сформировать новый проект муниципального контракта в соответствии с условиями извещения об осуществлении закупки с реестровым номером </w:t>
      </w:r>
      <w:r>
        <w:rPr>
          <w:rStyle w:val="CharStyle13"/>
          <w:lang w:val="en-US" w:eastAsia="en-US"/>
        </w:rPr>
        <w:t xml:space="preserve">0867300000926000062, </w:t>
      </w:r>
      <w:r>
        <w:rPr>
          <w:rStyle w:val="CharStyle13"/>
        </w:rPr>
        <w:t xml:space="preserve">а также с учетом позиции, изложенной в решении Тюменского УФАС России от </w:t>
      </w:r>
      <w:r>
        <w:rPr>
          <w:rStyle w:val="CharStyle13"/>
          <w:lang w:val="en-US" w:eastAsia="en-US"/>
        </w:rPr>
        <w:t xml:space="preserve">05.05.2026 </w:t>
      </w:r>
      <w:r>
        <w:rPr>
          <w:rStyle w:val="CharStyle13"/>
        </w:rPr>
        <w:t xml:space="preserve">по делу </w:t>
      </w:r>
      <w:r>
        <w:rPr>
          <w:rStyle w:val="CharStyle13"/>
          <w:lang w:val="en-US" w:eastAsia="en-US"/>
        </w:rPr>
        <w:t xml:space="preserve">№ 072/06/44/83/2026, </w:t>
      </w:r>
      <w:r>
        <w:rPr>
          <w:rStyle w:val="CharStyle13"/>
        </w:rPr>
        <w:t>который в дальнейшем направить в электронном виде с использованием ЕИС в сфере закупок и оператора электронной площадки для повторного подписания в адрес участника с которым заключается контракт, в лице ПАО «Ростелеком».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изложенного, руководствуясь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99, </w:t>
      </w: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Признать жалобу филиала в Тюменской и Курганской областях ПАО «Ростелеком» </w:t>
      </w:r>
      <w:r>
        <w:rPr>
          <w:rStyle w:val="CharStyle13"/>
          <w:b/>
          <w:bCs/>
        </w:rPr>
        <w:t>обоснованной</w:t>
      </w:r>
      <w:r>
        <w:rPr>
          <w:rStyle w:val="CharStyle13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Признать заказчика в лице Ирбитского территориального управления Администрации Тюменского муниципального округа нарушившим требования </w:t>
      </w:r>
      <w:r>
        <w:rPr>
          <w:rStyle w:val="CharStyle13"/>
          <w:b/>
          <w:bCs/>
        </w:rPr>
        <w:t xml:space="preserve">части </w:t>
      </w:r>
      <w:r>
        <w:rPr>
          <w:rStyle w:val="CharStyle13"/>
          <w:b/>
          <w:bCs/>
          <w:lang w:val="en-US" w:eastAsia="en-US"/>
        </w:rPr>
        <w:t xml:space="preserve">3 </w:t>
      </w:r>
      <w:r>
        <w:rPr>
          <w:rStyle w:val="CharStyle13"/>
          <w:b/>
          <w:bCs/>
        </w:rPr>
        <w:t xml:space="preserve">статьи </w:t>
      </w:r>
      <w:r>
        <w:rPr>
          <w:rStyle w:val="CharStyle13"/>
          <w:b/>
          <w:bCs/>
          <w:lang w:val="en-US" w:eastAsia="en-US"/>
        </w:rPr>
        <w:t xml:space="preserve">7, </w:t>
      </w:r>
      <w:r>
        <w:rPr>
          <w:rStyle w:val="CharStyle13"/>
          <w:b/>
          <w:bCs/>
        </w:rPr>
        <w:t xml:space="preserve">части </w:t>
      </w:r>
      <w:r>
        <w:rPr>
          <w:rStyle w:val="CharStyle13"/>
          <w:b/>
          <w:bCs/>
          <w:lang w:val="en-US" w:eastAsia="en-US"/>
        </w:rPr>
        <w:t xml:space="preserve">1 </w:t>
      </w:r>
      <w:r>
        <w:rPr>
          <w:rStyle w:val="CharStyle13"/>
          <w:b/>
          <w:bCs/>
        </w:rPr>
        <w:t xml:space="preserve">статьи </w:t>
      </w:r>
      <w:r>
        <w:rPr>
          <w:rStyle w:val="CharStyle13"/>
          <w:b/>
          <w:bCs/>
          <w:lang w:val="en-US" w:eastAsia="en-US"/>
        </w:rPr>
        <w:t xml:space="preserve">34, </w:t>
      </w:r>
      <w:r>
        <w:rPr>
          <w:rStyle w:val="CharStyle13"/>
          <w:b/>
          <w:bCs/>
        </w:rPr>
        <w:t xml:space="preserve">подпункта «а» пункта </w:t>
      </w:r>
      <w:r>
        <w:rPr>
          <w:rStyle w:val="CharStyle13"/>
          <w:b/>
          <w:bCs/>
          <w:lang w:val="en-US" w:eastAsia="en-US"/>
        </w:rPr>
        <w:t xml:space="preserve">1 </w:t>
      </w:r>
      <w:r>
        <w:rPr>
          <w:rStyle w:val="CharStyle13"/>
          <w:b/>
          <w:bCs/>
        </w:rPr>
        <w:t xml:space="preserve">части </w:t>
      </w:r>
      <w:r>
        <w:rPr>
          <w:rStyle w:val="CharStyle13"/>
          <w:b/>
          <w:bCs/>
          <w:lang w:val="en-US" w:eastAsia="en-US"/>
        </w:rPr>
        <w:t xml:space="preserve">2 </w:t>
      </w:r>
      <w:r>
        <w:rPr>
          <w:rStyle w:val="CharStyle13"/>
          <w:b/>
          <w:bCs/>
        </w:rPr>
        <w:t xml:space="preserve">статьи </w:t>
      </w:r>
      <w:r>
        <w:rPr>
          <w:rStyle w:val="CharStyle13"/>
          <w:b/>
          <w:bCs/>
          <w:lang w:val="en-US" w:eastAsia="en-US"/>
        </w:rPr>
        <w:t xml:space="preserve">51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Выдать в адрес заказчика, уполномоченного учреждения, оператора электронной площадки обязательное для исполнения предписание.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3"/>
        </w:rPr>
        <w:t>Передать материалы дела уполномоченному должностному лицу Тюменского УФАС России для решения вопроса о возбуждении дела об административном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правонарушении в отношении ответственного должностного лица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настоящее решение может быть оспорено в арбитражном суде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07" w:right="537" w:bottom="1158" w:left="1101" w:header="679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47345" distL="0" distR="0" simplePos="0" relativeHeight="125829380" behindDoc="0" locked="0" layoutInCell="1" allowOverlap="1">
                <wp:simplePos x="0" y="0"/>
                <wp:positionH relativeFrom="page">
                  <wp:posOffset>748030</wp:posOffset>
                </wp:positionH>
                <wp:positionV relativeFrom="paragraph">
                  <wp:posOffset>114300</wp:posOffset>
                </wp:positionV>
                <wp:extent cx="1801495" cy="2438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149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899999999999999pt;margin-top:9.pt;width:141.84999999999999pt;height:19.199999999999999pt;z-index:-125829373;mso-wrap-distance-left:0;mso-wrap-distance-top:9.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1130" distB="0" distL="0" distR="1786255" simplePos="0" relativeHeight="125829382" behindDoc="0" locked="0" layoutInCell="1" allowOverlap="1">
            <wp:simplePos x="0" y="0"/>
            <wp:positionH relativeFrom="page">
              <wp:posOffset>2701925</wp:posOffset>
            </wp:positionH>
            <wp:positionV relativeFrom="paragraph">
              <wp:posOffset>151130</wp:posOffset>
            </wp:positionV>
            <wp:extent cx="389890" cy="5549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3192780</wp:posOffset>
                </wp:positionH>
                <wp:positionV relativeFrom="paragraph">
                  <wp:posOffset>589915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1.40000000000001pt;margin-top:46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3152775</wp:posOffset>
                </wp:positionH>
                <wp:positionV relativeFrom="paragraph">
                  <wp:posOffset>273050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8.25pt;margin-top:21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47345" distL="0" distR="0" simplePos="0" relativeHeight="125829383" behindDoc="0" locked="0" layoutInCell="1" allowOverlap="1">
                <wp:simplePos x="0" y="0"/>
                <wp:positionH relativeFrom="page">
                  <wp:posOffset>4957445</wp:posOffset>
                </wp:positionH>
                <wp:positionV relativeFrom="paragraph">
                  <wp:posOffset>114300</wp:posOffset>
                </wp:positionV>
                <wp:extent cx="969010" cy="24384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Ю.Д. Верзун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90.35000000000002pt;margin-top:9.pt;width:76.299999999999997pt;height:19.199999999999999pt;z-index:-125829370;mso-wrap-distance-left:0;mso-wrap-distance-top:9.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Ю.Д. Верзун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Верзун Юрий Дмитриевич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00B2703EBEE76CBAD525C1626EA147EA0</w:t>
      </w:r>
      <w:r>
        <w:rPr>
          <w:rStyle w:val="CharStyle22"/>
          <w:lang w:val="en-US" w:eastAsia="en-US"/>
        </w:rPr>
        <w:t>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Действителен с 10.09.2025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04.12.2026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60" w:bottom="910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198120" distL="0" distR="0" simplePos="0" relativeHeight="125829385" behindDoc="0" locked="0" layoutInCell="1" allowOverlap="1">
                <wp:simplePos x="0" y="0"/>
                <wp:positionH relativeFrom="page">
                  <wp:posOffset>741680</wp:posOffset>
                </wp:positionH>
                <wp:positionV relativeFrom="paragraph">
                  <wp:posOffset>76200</wp:posOffset>
                </wp:positionV>
                <wp:extent cx="1292225" cy="24384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399999999999999pt;margin-top:6.pt;width:101.75pt;height:19.199999999999999pt;z-index:-125829368;mso-wrap-distance-left:0;mso-wrap-distance-top:6.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3990" distB="0" distL="0" distR="1816735" simplePos="0" relativeHeight="125829387" behindDoc="0" locked="0" layoutInCell="1" allowOverlap="1">
            <wp:simplePos x="0" y="0"/>
            <wp:positionH relativeFrom="page">
              <wp:posOffset>2762250</wp:posOffset>
            </wp:positionH>
            <wp:positionV relativeFrom="paragraph">
              <wp:posOffset>173990</wp:posOffset>
            </wp:positionV>
            <wp:extent cx="298450" cy="3473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3152140</wp:posOffset>
                </wp:positionH>
                <wp:positionV relativeFrom="paragraph">
                  <wp:posOffset>234950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8.20000000000002pt;margin-top:18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198120" distL="0" distR="0" simplePos="0" relativeHeight="125829388" behindDoc="0" locked="0" layoutInCell="1" allowOverlap="1">
                <wp:simplePos x="0" y="0"/>
                <wp:positionH relativeFrom="page">
                  <wp:posOffset>4956810</wp:posOffset>
                </wp:positionH>
                <wp:positionV relativeFrom="paragraph">
                  <wp:posOffset>76200</wp:posOffset>
                </wp:positionV>
                <wp:extent cx="1090930" cy="24384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Н.В. Логинова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90.30000000000001pt;margin-top:6.pt;width:85.900000000000006pt;height:19.199999999999999pt;z-index:-125829365;mso-wrap-distance-left:0;mso-wrap-distance-top:6.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Н.В. Логинова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7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Логинова Надежда Владимировна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00D86DFEFB093F917F567A3B0A392D6EB</w:t>
      </w:r>
      <w:r>
        <w:rPr>
          <w:rStyle w:val="CharStyle22"/>
          <w:lang w:val="en-US" w:eastAsia="en-US"/>
        </w:rPr>
        <w:t>C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76200" distR="76200" simplePos="0" relativeHeight="125829390" behindDoc="0" locked="0" layoutInCell="1" allowOverlap="1">
                <wp:simplePos x="0" y="0"/>
                <wp:positionH relativeFrom="page">
                  <wp:posOffset>4956810</wp:posOffset>
                </wp:positionH>
                <wp:positionV relativeFrom="paragraph">
                  <wp:posOffset>228600</wp:posOffset>
                </wp:positionV>
                <wp:extent cx="956945" cy="243840"/>
                <wp:wrapSquare wrapText="lef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И.Г. Назаров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90.30000000000001pt;margin-top:18.pt;width:75.350000000000009pt;height:19.199999999999999pt;z-index:-125829363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И.Г. Назаров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2"/>
        </w:rPr>
        <w:t xml:space="preserve">Действителен с 05.08.2025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29.10.2026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7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7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Назаров Игорь Геннадьевич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008774010EF3182954EDD8DBFD8F1E1762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2"/>
        </w:rPr>
        <w:t xml:space="preserve">Действителен с 13.03.2026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06.06.2027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6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25pt;margin-top:775.70000000000005pt;width:51.60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10022205</wp:posOffset>
              </wp:positionV>
              <wp:extent cx="65532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100000000000001pt;margin-top:789.14999999999998pt;width:51.60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9"/>
      <w:sz w:val="17"/>
      <w:szCs w:val="17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9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character" w:customStyle="1" w:styleId="CharStyle27">
    <w:name w:val="Body text (4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spacing w:after="12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9"/>
      <w:sz w:val="17"/>
      <w:szCs w:val="17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20"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9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100"/>
      <w:ind w:left="38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