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</w:rPr>
        <w:t>$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rStyle w:val="CharStyle8"/>
          <w:b/>
          <w:bCs/>
        </w:rPr>
        <w:t>ФЕДЕРАЛЬНАЯ</w:t>
        <w:br/>
        <w:t>АНТИМОНОПОЛЬНАЯ СЛУЖБА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8"/>
          <w:b/>
          <w:bCs/>
        </w:rPr>
        <w:t>УПРАВЛЕНИЕ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8"/>
          <w:b/>
          <w:bCs/>
        </w:rPr>
        <w:t>Федеральной антимонопольной</w:t>
        <w:br/>
        <w:t>службы по Ханты-Мансийскому</w:t>
        <w:br/>
        <w:t>автономному округу - Югре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52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8"/>
        </w:rPr>
        <w:t>ул. Мира, д. 27, Ханты-Мансийск, 628012</w:t>
        <w:br/>
        <w:t>телефон/факс +7 (3467) 38-80-81</w:t>
        <w:br/>
      </w:r>
      <w:r>
        <w:rPr>
          <w:rStyle w:val="CharStyle8"/>
          <w:sz w:val="16"/>
          <w:szCs w:val="16"/>
          <w:lang w:val="en-US" w:eastAsia="en-US"/>
        </w:rPr>
        <w:t xml:space="preserve">e-mail: </w:t>
      </w:r>
      <w:r>
        <w:fldChar w:fldCharType="begin"/>
      </w:r>
      <w:r>
        <w:rPr/>
        <w:instrText> HYPERLINK "mailto:to86@fas.gov.ru" </w:instrText>
      </w:r>
      <w:r>
        <w:fldChar w:fldCharType="separate"/>
      </w:r>
      <w:r>
        <w:rPr>
          <w:rStyle w:val="CharStyle8"/>
          <w:sz w:val="16"/>
          <w:szCs w:val="16"/>
          <w:lang w:val="en-US" w:eastAsia="en-US"/>
        </w:rPr>
        <w:t>to86@fas.gov.ru</w:t>
      </w:r>
      <w:r>
        <w:fldChar w:fldCharType="end"/>
      </w:r>
      <w:r>
        <w:rPr>
          <w:rStyle w:val="CharStyle8"/>
          <w:sz w:val="16"/>
          <w:szCs w:val="16"/>
          <w:lang w:val="en-US" w:eastAsia="en-US"/>
        </w:rPr>
        <w:t xml:space="preserve">, </w:t>
      </w:r>
      <w:r>
        <w:rPr>
          <w:rStyle w:val="CharStyle8"/>
          <w:sz w:val="16"/>
          <w:szCs w:val="16"/>
        </w:rPr>
        <w:t xml:space="preserve">сайт </w:t>
      </w:r>
      <w:r>
        <w:fldChar w:fldCharType="begin"/>
      </w:r>
      <w:r>
        <w:rPr/>
        <w:instrText> HYPERLINK "http://hmao.fas.gov.ru" </w:instrText>
      </w:r>
      <w:r>
        <w:fldChar w:fldCharType="separate"/>
      </w:r>
      <w:r>
        <w:rPr>
          <w:rStyle w:val="CharStyle8"/>
          <w:sz w:val="16"/>
          <w:szCs w:val="16"/>
          <w:lang w:val="en-US" w:eastAsia="en-US"/>
        </w:rPr>
        <w:t>http://hmao.fas.gov.ru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>ИНН 8601009316 КПП 860101001 ОГРН 1028600512093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4"/>
        </w:rPr>
        <w:t>П.05.2026</w:t>
      </w:r>
      <w:r>
        <w:fldChar w:fldCharType="end"/>
      </w:r>
      <w:r>
        <w:rPr>
          <w:rStyle w:val="CharStyle14"/>
        </w:rPr>
        <w:t xml:space="preserve"> № </w:t>
      </w:r>
      <w:r>
        <w:rPr>
          <w:rStyle w:val="CharStyle14"/>
          <w:u w:val="single"/>
        </w:rPr>
        <w:t>СБ/3227/26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8"/>
        </w:rPr>
        <w:t xml:space="preserve">На№  от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7"/>
          <w:b/>
          <w:bCs/>
        </w:rPr>
        <w:t>Оператор ЭП:</w:t>
      </w:r>
      <w:bookmarkEnd w:id="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ООО «РТС-тендер»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9"/>
          <w:lang w:val="en-US" w:eastAsia="en-US"/>
        </w:rPr>
        <w:t>e-mail: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9"/>
          <w:lang w:val="en-US" w:eastAsia="en-US"/>
        </w:rPr>
        <w:t xml:space="preserve"> </w:t>
      </w:r>
      <w:r>
        <w:rPr>
          <w:rStyle w:val="CharStyle19"/>
          <w:color w:val="000080"/>
          <w:u w:val="single"/>
          <w:lang w:val="en-US" w:eastAsia="en-US"/>
        </w:rPr>
        <w:t>ko@rts-tender.ru</w:t>
      </w:r>
      <w:r>
        <w:fldChar w:fldCharType="end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7"/>
          <w:b/>
          <w:bCs/>
        </w:rPr>
        <w:t>Заявитель:</w:t>
      </w:r>
      <w:bookmarkEnd w:id="4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Общество с ограниченной ответственностью «УРФО-ЛАБ»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625000, Тюменская область, г.о. город Тюмень, г. Тюмень, ул. Республики, д. 53, офис 403В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9"/>
          <w:lang w:val="en-US" w:eastAsia="en-US"/>
        </w:rPr>
        <w:t xml:space="preserve">e-mail: </w:t>
      </w:r>
      <w:r>
        <w:fldChar w:fldCharType="begin"/>
      </w:r>
      <w:r>
        <w:rPr/>
        <w:instrText> HYPERLINK "mailto:urfolab@mail.ru" </w:instrText>
      </w:r>
      <w:r>
        <w:fldChar w:fldCharType="separate"/>
      </w:r>
      <w:r>
        <w:rPr>
          <w:rStyle w:val="CharStyle19"/>
          <w:lang w:val="en-US" w:eastAsia="en-US"/>
        </w:rPr>
        <w:t>urfolab@mail.ru</w:t>
      </w:r>
      <w:r>
        <w:fldChar w:fldCharType="end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Style w:val="CharStyle17"/>
          <w:b/>
          <w:bCs/>
        </w:rPr>
        <w:t>Заказчик:</w:t>
      </w:r>
      <w:bookmarkEnd w:id="6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Казенное учреждение Ханты-Мансийского автономного округа — Югры «Центр лекарственного мониторинга»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628400, Ханты-Мансийский автономный округ — Югра, г. Сургут, пр-кт Набережный д. 41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246" w:right="642" w:bottom="1313" w:left="1135" w:header="0" w:footer="3" w:gutter="0"/>
          <w:pgNumType w:start="1"/>
          <w:cols w:num="2" w:space="720" w:equalWidth="0">
            <w:col w:w="4181" w:space="1090"/>
            <w:col w:w="4853"/>
          </w:cols>
          <w:noEndnote/>
          <w:titlePg/>
          <w:rtlGutter w:val="0"/>
          <w:docGrid w:linePitch="360"/>
        </w:sectPr>
      </w:pPr>
      <w:r>
        <w:rPr>
          <w:rStyle w:val="CharStyle19"/>
          <w:lang w:val="en-US" w:eastAsia="en-US"/>
        </w:rPr>
        <w:t xml:space="preserve">e-mail: </w:t>
      </w:r>
      <w:r>
        <w:fldChar w:fldCharType="begin"/>
      </w:r>
      <w:r>
        <w:rPr/>
        <w:instrText> HYPERLINK "mailto:lab-hmao@clm86.ru" </w:instrText>
      </w:r>
      <w:r>
        <w:fldChar w:fldCharType="separate"/>
      </w:r>
      <w:r>
        <w:rPr>
          <w:rStyle w:val="CharStyle19"/>
          <w:lang w:val="en-US" w:eastAsia="en-US"/>
        </w:rPr>
        <w:t>lab-hmao@clm86.ru</w:t>
      </w:r>
      <w:r>
        <w:fldChar w:fldCharType="end"/>
      </w:r>
    </w:p>
    <w:p>
      <w:pPr>
        <w:widowControl w:val="0"/>
        <w:spacing w:line="197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10" w:right="0" w:bottom="124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8" w:name="bookmark8"/>
      <w:r>
        <w:rPr>
          <w:rStyle w:val="CharStyle17"/>
          <w:b/>
          <w:bCs/>
        </w:rPr>
        <w:t>РЕШЕНИЕ № 086/06/33-829/2026</w:t>
      </w:r>
      <w:bookmarkEnd w:id="8"/>
    </w:p>
    <w:p>
      <w:pPr>
        <w:pStyle w:val="Style18"/>
        <w:keepNext w:val="0"/>
        <w:keepLines w:val="0"/>
        <w:widowControl w:val="0"/>
        <w:shd w:val="clear" w:color="auto" w:fill="auto"/>
        <w:tabs>
          <w:tab w:pos="783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Резолютивная часть объявлена 06.05.2026</w:t>
        <w:tab/>
        <w:t>г. Ханты-Мансийск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9"/>
        </w:rPr>
        <w:t>Изготовлено в полном объеме 12.05.2026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9"/>
        </w:rPr>
        <w:t>Комиссия Управления Федеральной антимонопольной службы по Ханты-Мансийскому автономному округу – Югре (далее – Комиссия Управления)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Председатель комиссии: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Бочков С.А. – Руководитель Ханты-Мансийского УФАС России,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Членов комиссии: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Михайлова О.Н. – Старший специалист 1 разряда отдела контроля закупок,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6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19"/>
        </w:rPr>
        <w:t>Шаврин А.В. – Эксперт отдела контроля закупок,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от Заявителя – посредством видео-конференцсвязи Малыхина В.С. по доверенности № 1 от 05.05.2026 г.,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9"/>
        </w:rPr>
        <w:t>от Заказчика – посредством видео-конференцсвязи Соколов Е.В. по доверенности № 127 от 05.05.2026 г.,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9"/>
        </w:rPr>
        <w:t>рассмотрев жалобу ООО «УРФО-ЛАБ» (ИНН: 7203385493) от 30.04.2026 № 4827/26, на действия Заказчика - Казенного учреждения Ханты-Мансийского автономного округа — Югры «Центр лекарственного мониторинга» при проведении электронного аукциона, предметом которого является поставка медицинских изделий: Анализатор газов крови ИВД, лабораторный, автоматический для оснащения (дооснащения) детских больниц в рамках</w:t>
      </w:r>
    </w:p>
    <w:p>
      <w:pPr>
        <w:widowControl w:val="0"/>
        <w:spacing w:line="1" w:lineRule="exact"/>
      </w:pPr>
      <w:r>
        <w:drawing>
          <wp:anchor distT="127000" distB="0" distL="0" distR="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127000</wp:posOffset>
            </wp:positionV>
            <wp:extent cx="1517650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9"/>
        </w:rPr>
        <w:t xml:space="preserve">регионального проекта «Охрана материнства и детства» (извещение </w:t>
      </w:r>
      <w:r>
        <w:rPr>
          <w:rStyle w:val="CharStyle19"/>
          <w:lang w:val="en-US" w:eastAsia="en-US"/>
        </w:rPr>
        <w:t xml:space="preserve">№ 0387200009126001714) </w:t>
      </w:r>
      <w:r>
        <w:rPr>
          <w:rStyle w:val="CharStyle19"/>
        </w:rPr>
        <w:t xml:space="preserve">и в результате осуществления внеплановой проверки в соответствии с пунктом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15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99 </w:t>
      </w:r>
      <w:r>
        <w:rPr>
          <w:rStyle w:val="CharStyle19"/>
        </w:rPr>
        <w:t xml:space="preserve">Федерального закона от </w:t>
      </w:r>
      <w:r>
        <w:rPr>
          <w:rStyle w:val="CharStyle19"/>
          <w:lang w:val="en-US" w:eastAsia="en-US"/>
        </w:rPr>
        <w:t xml:space="preserve">05.04.2013 № </w:t>
      </w:r>
      <w:r>
        <w:rPr>
          <w:rStyle w:val="CharStyle19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>Закон о контрактной системе),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10" w:name="bookmark10"/>
      <w:r>
        <w:rPr>
          <w:rStyle w:val="CharStyle17"/>
          <w:b/>
          <w:bCs/>
        </w:rPr>
        <w:t>УСТАНОВИЛА:</w:t>
      </w:r>
      <w:bookmarkEnd w:id="10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В Управление Федеральной антимонопольной службы по Ханты-Мансийскому автономному округу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 xml:space="preserve">Югре поступила жалоба ООО «УРФО-ЛАБ» (ИНН: </w:t>
      </w:r>
      <w:r>
        <w:rPr>
          <w:rStyle w:val="CharStyle19"/>
          <w:lang w:val="en-US" w:eastAsia="en-US"/>
        </w:rPr>
        <w:t xml:space="preserve">7203385493) </w:t>
      </w:r>
      <w:r>
        <w:rPr>
          <w:rStyle w:val="CharStyle19"/>
        </w:rPr>
        <w:t xml:space="preserve">от </w:t>
      </w:r>
      <w:r>
        <w:rPr>
          <w:rStyle w:val="CharStyle19"/>
          <w:lang w:val="en-US" w:eastAsia="en-US"/>
        </w:rPr>
        <w:t xml:space="preserve">30.04.2026 № 4827/26, </w:t>
      </w:r>
      <w:r>
        <w:rPr>
          <w:rStyle w:val="CharStyle19"/>
        </w:rPr>
        <w:t xml:space="preserve">на действия Заказчика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Казенного учреждения Ханты-Мансийского автономного округа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 xml:space="preserve">Югры «Центр лекарственного мониторинга» при проведении электронного аукциона, предметом которого является поставка медицинских изделий: Анализатор газов крови ИВД, лабораторный, автоматический для оснащения (дооснащения) детских больниц в рамках регионального проекта «Охрана материнства и детства» (извещение </w:t>
      </w:r>
      <w:r>
        <w:rPr>
          <w:rStyle w:val="CharStyle19"/>
          <w:lang w:val="en-US" w:eastAsia="en-US"/>
        </w:rPr>
        <w:t>№ 0387200009126001714).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В доводах жалобы Заявитель указал следующее: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Использование Заказчиком в качестве технической характеристики оборудования параметра «Время от забора пробы до вывода результатов», по мнению Заявителя, является грубой терминологической ошибкой, так как забор биоматериала (венепункция) относится к преаналитическому этапу и зависит исключительно от действий медицинского персонала. Единственной объективной, измеримой технической характеристикой скорости работы (производительности) самого устройства, фигурирующей в технической документации любого производителя, является «Время от отбора (аспирации) пробы анализатором до вывода результатов на экран», поскольку медицинское оборудование не способно контролировать и учитывать время, затраченное врачом или медсестрой на манипуляции с пациентом и доставку шприца к прибору.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По мнению Заявителя, требование Заказчика о наличии формулы именно с калием </w:t>
      </w:r>
      <w:r>
        <w:rPr>
          <w:rStyle w:val="CharStyle19"/>
          <w:lang w:val="en-US" w:eastAsia="en-US"/>
        </w:rPr>
        <w:t xml:space="preserve">(AnGap K+) </w:t>
      </w:r>
      <w:r>
        <w:rPr>
          <w:rStyle w:val="CharStyle19"/>
        </w:rPr>
        <w:t>носит избыточный характер, не влияет на качество оказания медицинской помощи, но при этом искусственно ограничивает число участников закупки.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0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19"/>
        </w:rPr>
        <w:t xml:space="preserve">По мнению Заявителя, требование Заказчика к наличию расчетного параметра строго под конкретной англоязычной аббревиатурой </w:t>
      </w:r>
      <w:r>
        <w:rPr>
          <w:rStyle w:val="CharStyle19"/>
          <w:lang w:val="en-US" w:eastAsia="en-US"/>
        </w:rPr>
        <w:t xml:space="preserve">«mOsm» </w:t>
      </w:r>
      <w:r>
        <w:rPr>
          <w:rStyle w:val="CharStyle19"/>
        </w:rPr>
        <w:t>является прямым ограничением конкуренции.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  <w:b/>
          <w:bCs/>
        </w:rPr>
        <w:t>В ходе рассмотрения доводов сторон, материалов дела и проведения внеплановой проверки, Комиссией Управления установлено следующее.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  <w:b/>
          <w:bCs/>
        </w:rPr>
        <w:t>Относительно первого довода жалобы Комиссия Управления установила следующее.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Согласно пункту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33 </w:t>
      </w:r>
      <w:r>
        <w:rPr>
          <w:rStyle w:val="CharStyle19"/>
        </w:rPr>
        <w:t xml:space="preserve">Федерального закона от </w:t>
      </w:r>
      <w:r>
        <w:rPr>
          <w:rStyle w:val="CharStyle19"/>
          <w:lang w:val="en-US" w:eastAsia="en-US"/>
        </w:rPr>
        <w:t xml:space="preserve">05.04.2013 № </w:t>
      </w:r>
      <w:r>
        <w:rPr>
          <w:rStyle w:val="CharStyle19"/>
        </w:rPr>
        <w:t xml:space="preserve">44-ФЗ (ред. от </w:t>
      </w:r>
      <w:r>
        <w:rPr>
          <w:rStyle w:val="CharStyle19"/>
          <w:lang w:val="en-US" w:eastAsia="en-US"/>
        </w:rPr>
        <w:t xml:space="preserve">28.12.2025) </w:t>
      </w:r>
      <w:r>
        <w:rPr>
          <w:rStyle w:val="CharStyle19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>Закон о контрактной системе)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0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19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использование в описании объекта закупки указания на товарный знак в следующих случаях:</w:t>
      </w:r>
    </w:p>
    <w:p>
      <w:pPr>
        <w:pStyle w:val="Style1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сопровождение такого указания словами «или эквивалент»;</w:t>
      </w:r>
    </w:p>
    <w:p>
      <w:pPr>
        <w:pStyle w:val="Style1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Согласно части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33 </w:t>
      </w:r>
      <w:r>
        <w:rPr>
          <w:rStyle w:val="CharStyle19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настоящей статьи, должно содержать </w:t>
      </w:r>
      <w:r>
        <w:rPr>
          <w:rStyle w:val="CharStyle19"/>
          <w:u w:val="single"/>
        </w:rPr>
        <w:t>показатели, позволяющие определить соответствие закупаемых товара, работы, услуги установленным заказчиком требованиям</w:t>
      </w:r>
      <w:r>
        <w:rPr>
          <w:rStyle w:val="CharStyle19"/>
        </w:rPr>
        <w:t>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Согласно пункту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42 </w:t>
      </w:r>
      <w:r>
        <w:rPr>
          <w:rStyle w:val="CharStyle19"/>
        </w:rPr>
        <w:t>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описание объекта закупки в соответствии со статьей </w:t>
      </w:r>
      <w:r>
        <w:rPr>
          <w:rStyle w:val="CharStyle19"/>
          <w:lang w:val="en-US" w:eastAsia="en-US"/>
        </w:rPr>
        <w:t xml:space="preserve">33 </w:t>
      </w:r>
      <w:r>
        <w:rPr>
          <w:rStyle w:val="CharStyle19"/>
        </w:rPr>
        <w:t>настоящего Федерального закона.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Заявителем оспаривается следующий параметр, установленный Заказчиком:</w:t>
      </w:r>
    </w:p>
    <w:tbl>
      <w:tblPr>
        <w:tblOverlap w:val="never"/>
        <w:jc w:val="center"/>
        <w:tblLayout w:type="fixed"/>
      </w:tblPr>
      <w:tblGrid>
        <w:gridCol w:w="1541"/>
        <w:gridCol w:w="648"/>
        <w:gridCol w:w="965"/>
        <w:gridCol w:w="2016"/>
        <w:gridCol w:w="5045"/>
      </w:tblGrid>
      <w:tr>
        <w:trPr>
          <w:trHeight w:val="287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7"/>
                <w:sz w:val="20"/>
                <w:szCs w:val="20"/>
              </w:rPr>
              <w:t>Время от забора пробы до вывода результатов на экран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7"/>
                <w:sz w:val="20"/>
                <w:szCs w:val="20"/>
                <w:lang w:val="en-US" w:eastAsia="en-US"/>
              </w:rPr>
              <w:t>≤ 110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7"/>
                <w:sz w:val="20"/>
                <w:szCs w:val="20"/>
              </w:rPr>
              <w:t>Секунда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7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7"/>
                <w:sz w:val="20"/>
                <w:szCs w:val="20"/>
              </w:rPr>
              <w:t xml:space="preserve">В виду отсутствия характеристик установленных соответствующей позицией каталога товаров работ услуг для обеспечения государственных и муниципальных нужд (далее </w:t>
            </w:r>
            <w:r>
              <w:rPr>
                <w:rStyle w:val="CharStyle27"/>
                <w:sz w:val="20"/>
                <w:szCs w:val="20"/>
                <w:lang w:val="en-US" w:eastAsia="en-US"/>
              </w:rPr>
              <w:t xml:space="preserve">— </w:t>
            </w:r>
            <w:r>
              <w:rPr>
                <w:rStyle w:val="CharStyle27"/>
                <w:sz w:val="20"/>
                <w:szCs w:val="20"/>
              </w:rPr>
              <w:t>КТРУ), в связи с необходимостью соблюдения требований ч.1 ст.33 Закона №44-ФЗ в части указания функциональных, технических и качественных характеристик объекта закупки, связанных с определением соответствия поставляемого товара потребностям заказчика, с целью выполнения его основной деятельности, заказчиком установлены требования к закупаемой продукции, не предусмотренные соответствующей позицией КТРУ.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Комиссия Управления установила, что параметр «Время от забора пробы до вывода результатов на экран» неизмерим, поскольку данный параметр не относится к прибору, а связан с взаимодействием прибора с человеком.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Измеримой технической характеристикой скорости работы (производительности) самого устройства, фигурирующей в технической документации любого производителя, может являться «Время от отбора (аспирации) пробы анализатором до вывода результатов на экран», поскольку медицинское оборудование не способно контролировать и учитывать время, затраченное врачом или медсестрой на манипуляции с пациентом и доставку шприца к прибору.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Таким образом, Комиссией Управления установлено, что Заказчиком неправомерно установлен параметр к Анализатору газов крови ИВД, лабораторный, автоматический «Время от забора пробы до вывода результатов на экран», так как данный параметр неизмерим и не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 xml:space="preserve">относится к прибору, в связи с чем, в действиях Заказчика выявлено нарушений положений части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33, </w:t>
      </w:r>
      <w:r>
        <w:rPr>
          <w:rStyle w:val="CharStyle19"/>
        </w:rPr>
        <w:t xml:space="preserve">пункта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42 </w:t>
      </w:r>
      <w:r>
        <w:rPr>
          <w:rStyle w:val="CharStyle19"/>
        </w:rPr>
        <w:t>Закона о контрактной системе.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9"/>
        </w:rPr>
        <w:t>На основании вышеизложенного, довод является обоснованным.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0"/>
          <w:b/>
          <w:bCs/>
        </w:rPr>
        <w:t>Относительно второго довода жалобы Комиссия Управления установила следующее.</w:t>
      </w:r>
    </w:p>
    <w:tbl>
      <w:tblPr>
        <w:tblOverlap w:val="never"/>
        <w:jc w:val="center"/>
        <w:tblLayout w:type="fixed"/>
      </w:tblPr>
      <w:tblGrid>
        <w:gridCol w:w="850"/>
        <w:gridCol w:w="1003"/>
        <w:gridCol w:w="2136"/>
        <w:gridCol w:w="6226"/>
      </w:tblGrid>
      <w:tr>
        <w:trPr>
          <w:trHeight w:val="250" w:hRule="exact"/>
        </w:trPr>
        <w:tc>
          <w:tcPr>
            <w:gridSpan w:val="4"/>
            <w:tcBorders/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7"/>
              </w:rPr>
              <w:t>Заявителем оспаривается следующая характеристика, установленная Заказчиком:</w:t>
            </w:r>
          </w:p>
        </w:tc>
      </w:tr>
      <w:tr>
        <w:trPr>
          <w:trHeight w:val="241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7"/>
                <w:sz w:val="20"/>
                <w:szCs w:val="20"/>
                <w:lang w:val="en-US" w:eastAsia="en-US"/>
              </w:rPr>
              <w:t>AnGap (K⁺)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7"/>
                <w:sz w:val="20"/>
                <w:szCs w:val="20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7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7"/>
                <w:sz w:val="20"/>
                <w:szCs w:val="20"/>
              </w:rPr>
              <w:t xml:space="preserve">В виду отсутствия характеристик установленных соответствующей позицией каталога товаров работ услуг для обеспечения государственных и муниципальных нужд (далее </w:t>
            </w:r>
            <w:r>
              <w:rPr>
                <w:rStyle w:val="CharStyle27"/>
                <w:sz w:val="20"/>
                <w:szCs w:val="20"/>
                <w:lang w:val="en-US" w:eastAsia="en-US"/>
              </w:rPr>
              <w:t xml:space="preserve">— </w:t>
            </w:r>
            <w:r>
              <w:rPr>
                <w:rStyle w:val="CharStyle27"/>
                <w:sz w:val="20"/>
                <w:szCs w:val="20"/>
              </w:rPr>
              <w:t>КТРУ), в связи с необходимостью соблюдения требований ч.1 ст.33 Закона №44-ФЗ в части указания функциональных, технических и качественных характеристик объекта закупки, связанных с определением соответствия поставляемого товара потребностям заказчика, с целью выполнения его основной деятельности, заказчиком установлены требования к закупаемой продукции, не предусмотренные соответствующей позицией КТРУ.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На заседании Комиссии Управления представитель Заявителя указал, что требование Заказчика о наличии формулы именно с калием </w:t>
      </w:r>
      <w:r>
        <w:rPr>
          <w:rStyle w:val="CharStyle19"/>
          <w:lang w:val="en-US" w:eastAsia="en-US"/>
        </w:rPr>
        <w:t xml:space="preserve">(AnGap K+) </w:t>
      </w:r>
      <w:r>
        <w:rPr>
          <w:rStyle w:val="CharStyle19"/>
        </w:rPr>
        <w:t>носит избыточный характер, не влияет на качество оказания медицинской помощи. Комиссия Управления относительно данного довода отмечает следующее.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Согласно части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19 </w:t>
      </w:r>
      <w:r>
        <w:rPr>
          <w:rStyle w:val="CharStyle19"/>
        </w:rPr>
        <w:t>Закона о контрактной системе под нормированием в сфере закупок понимается установление требований к закупаемым заказчиком товарам, работам, услугам (в том числе предельной цены товаров, работ, услуг) и (или) нормативных затрат на обеспечение функций государственных органов, органов управления государственными внебюджетными фондами, муниципальных органов (включая соответственно территориальные органы и подведомственные казенные учреждения, за исключением казенных учреждений, которым в установленном порядке формируется государственное (муниципальное) задание на оказание государственных (муниципальных) услуг, выполнение работ).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Согласно части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19 </w:t>
      </w:r>
      <w:r>
        <w:rPr>
          <w:rStyle w:val="CharStyle19"/>
        </w:rPr>
        <w:t>Закона о контрактной системе для целей настоящей статьи под требованиями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Согласно части </w:t>
      </w:r>
      <w:r>
        <w:rPr>
          <w:rStyle w:val="CharStyle19"/>
          <w:lang w:val="en-US" w:eastAsia="en-US"/>
        </w:rPr>
        <w:t xml:space="preserve">8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99 </w:t>
      </w:r>
      <w:r>
        <w:rPr>
          <w:rStyle w:val="CharStyle19"/>
        </w:rPr>
        <w:t xml:space="preserve">Закона о контрактной системе Органы внутреннего государственного (муниципального) финансового контроля осуществляют контроль (за исключением контроля, предусмотренного частью </w:t>
      </w:r>
      <w:r>
        <w:rPr>
          <w:rStyle w:val="CharStyle19"/>
          <w:lang w:val="en-US" w:eastAsia="en-US"/>
        </w:rPr>
        <w:t xml:space="preserve">10 </w:t>
      </w:r>
      <w:r>
        <w:rPr>
          <w:rStyle w:val="CharStyle19"/>
        </w:rPr>
        <w:t>настоящей статьи) в отношении: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7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утратил силу с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октября </w:t>
      </w:r>
      <w:r>
        <w:rPr>
          <w:rStyle w:val="CharStyle19"/>
          <w:lang w:val="en-US" w:eastAsia="en-US"/>
        </w:rPr>
        <w:t xml:space="preserve">2019 </w:t>
      </w:r>
      <w:r>
        <w:rPr>
          <w:rStyle w:val="CharStyle19"/>
        </w:rPr>
        <w:t xml:space="preserve">года.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Федеральный закон от </w:t>
      </w:r>
      <w:r>
        <w:rPr>
          <w:rStyle w:val="CharStyle19"/>
          <w:lang w:val="en-US" w:eastAsia="en-US"/>
        </w:rPr>
        <w:t xml:space="preserve">01.05.2019 № </w:t>
      </w:r>
      <w:r>
        <w:rPr>
          <w:rStyle w:val="CharStyle19"/>
        </w:rPr>
        <w:t>71-ФЗ;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соблюдения правил нормирования в сфере закупок, установленных в соответствии со статьей </w:t>
      </w:r>
      <w:r>
        <w:rPr>
          <w:rStyle w:val="CharStyle19"/>
          <w:lang w:val="en-US" w:eastAsia="en-US"/>
        </w:rPr>
        <w:t xml:space="preserve">19 </w:t>
      </w:r>
      <w:r>
        <w:rPr>
          <w:rStyle w:val="CharStyle19"/>
        </w:rPr>
        <w:t>настоящего Федерального закона;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услуги;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7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утратил силу с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января </w:t>
      </w:r>
      <w:r>
        <w:rPr>
          <w:rStyle w:val="CharStyle19"/>
          <w:lang w:val="en-US" w:eastAsia="en-US"/>
        </w:rPr>
        <w:t xml:space="preserve">2020 </w:t>
      </w:r>
      <w:r>
        <w:rPr>
          <w:rStyle w:val="CharStyle19"/>
        </w:rPr>
        <w:t xml:space="preserve">года.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Федеральный закон от </w:t>
      </w:r>
      <w:r>
        <w:rPr>
          <w:rStyle w:val="CharStyle19"/>
          <w:lang w:val="en-US" w:eastAsia="en-US"/>
        </w:rPr>
        <w:t xml:space="preserve">27.12.2019 № </w:t>
      </w:r>
      <w:r>
        <w:rPr>
          <w:rStyle w:val="CharStyle19"/>
        </w:rPr>
        <w:t>449-ФЗ;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78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9"/>
        </w:rPr>
        <w:t>соблюдения предусмотренных настоящим Федеральным законом требований к исполнению, изменению контракта, а также соблюдения условий контракта, в том числе в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части соответствия поставленного товара, выполненной работы (ее результата) или оказанной услуги условиям контракта;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7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утратил силу с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января </w:t>
      </w:r>
      <w:r>
        <w:rPr>
          <w:rStyle w:val="CharStyle19"/>
          <w:lang w:val="en-US" w:eastAsia="en-US"/>
        </w:rPr>
        <w:t xml:space="preserve">2020 </w:t>
      </w:r>
      <w:r>
        <w:rPr>
          <w:rStyle w:val="CharStyle19"/>
        </w:rPr>
        <w:t xml:space="preserve">года.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Федеральный закон от </w:t>
      </w:r>
      <w:r>
        <w:rPr>
          <w:rStyle w:val="CharStyle19"/>
          <w:lang w:val="en-US" w:eastAsia="en-US"/>
        </w:rPr>
        <w:t xml:space="preserve">27.12.2019 № </w:t>
      </w:r>
      <w:r>
        <w:rPr>
          <w:rStyle w:val="CharStyle19"/>
        </w:rPr>
        <w:t>449-ФЗ;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9"/>
        </w:rPr>
        <w:t xml:space="preserve">Таким образом, вопрос о том, наличествует ли у Заказчиков потребность в закупаемом товаре с характеристикой </w:t>
      </w:r>
      <w:r>
        <w:rPr>
          <w:rStyle w:val="CharStyle19"/>
          <w:lang w:val="en-US" w:eastAsia="en-US"/>
        </w:rPr>
        <w:t xml:space="preserve">«AnGap (K⁺)», </w:t>
      </w:r>
      <w:r>
        <w:rPr>
          <w:rStyle w:val="CharStyle19"/>
        </w:rPr>
        <w:t>или эта потребность чрезмерна, относится к вопросам нормирования, в связи с чем, его рассмотрение относится к компетенции Органа внутреннего государственного (муниципального) финансового контроля и не относится к компетенции Комиссии Управления.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12" w:name="bookmark12"/>
      <w:r>
        <w:rPr>
          <w:rStyle w:val="CharStyle17"/>
          <w:b/>
          <w:bCs/>
        </w:rPr>
        <w:t>Относительно третьего довода жалобы Комиссия Управления установила</w:t>
      </w:r>
      <w:bookmarkEnd w:id="12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rStyle w:val="CharStyle17"/>
          <w:b/>
          <w:bCs/>
        </w:rPr>
        <w:t>следующее.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Заявителем оспаривается следующее обозначение, установленное Заказчиком:</w:t>
      </w:r>
    </w:p>
    <w:tbl>
      <w:tblPr>
        <w:tblOverlap w:val="never"/>
        <w:jc w:val="center"/>
        <w:tblLayout w:type="fixed"/>
      </w:tblPr>
      <w:tblGrid>
        <w:gridCol w:w="768"/>
        <w:gridCol w:w="998"/>
        <w:gridCol w:w="2146"/>
        <w:gridCol w:w="6302"/>
      </w:tblGrid>
      <w:tr>
        <w:trPr>
          <w:trHeight w:val="241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7"/>
                <w:sz w:val="20"/>
                <w:szCs w:val="20"/>
                <w:lang w:val="en-US" w:eastAsia="en-US"/>
              </w:rPr>
              <w:t>mOsm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7"/>
                <w:sz w:val="20"/>
                <w:szCs w:val="20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7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7"/>
                <w:sz w:val="20"/>
                <w:szCs w:val="20"/>
              </w:rPr>
              <w:t xml:space="preserve">В виду отсутствия характеристик установленных соответствующей позицией каталога товаров работ услуг для обеспечения государственных и муниципальных нужд (далее </w:t>
            </w:r>
            <w:r>
              <w:rPr>
                <w:rStyle w:val="CharStyle27"/>
                <w:sz w:val="20"/>
                <w:szCs w:val="20"/>
                <w:lang w:val="en-US" w:eastAsia="en-US"/>
              </w:rPr>
              <w:t xml:space="preserve">— </w:t>
            </w:r>
            <w:r>
              <w:rPr>
                <w:rStyle w:val="CharStyle27"/>
                <w:sz w:val="20"/>
                <w:szCs w:val="20"/>
              </w:rPr>
              <w:t>КТРУ), в связи с необходимостью соблюдения требований ч.1 ст.33 Закона №44-ФЗ в части указания функциональных, технических и качественных характеристик объекта закупки, связанных с определением соответствия поставляемого товара потребностям заказчика, с целью выполнения его основной деятельности, заказчиком установлены требования к закупаемой продукции, не предусмотренные соответствующей позицией КТРУ.</w:t>
            </w:r>
          </w:p>
        </w:tc>
      </w:tr>
    </w:tbl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Согласно пункту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33 </w:t>
      </w:r>
      <w:r>
        <w:rPr>
          <w:rStyle w:val="CharStyle19"/>
        </w:rPr>
        <w:t>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1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использование при составлении описания объекта закупки показателей, требований, </w:t>
      </w:r>
      <w:r>
        <w:rPr>
          <w:rStyle w:val="CharStyle19"/>
          <w:u w:val="single"/>
        </w:rPr>
        <w:t>условных обозначений и терминологии</w:t>
      </w:r>
      <w:r>
        <w:rPr>
          <w:rStyle w:val="CharStyle19"/>
        </w:rPr>
        <w:t xml:space="preserve">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</w:t>
      </w:r>
      <w:r>
        <w:rPr>
          <w:rStyle w:val="CharStyle19"/>
          <w:u w:val="single"/>
        </w:rPr>
        <w:t>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</w:t>
      </w:r>
      <w:r>
        <w:rPr>
          <w:rStyle w:val="CharStyle19"/>
        </w:rPr>
        <w:t>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Согласно главы </w:t>
      </w:r>
      <w:r>
        <w:rPr>
          <w:rStyle w:val="CharStyle19"/>
          <w:lang w:val="en-US" w:eastAsia="en-US"/>
        </w:rPr>
        <w:t xml:space="preserve">I </w:t>
      </w:r>
      <w:r>
        <w:rPr>
          <w:rStyle w:val="CharStyle19"/>
        </w:rPr>
        <w:t xml:space="preserve">«Детализированные сведения классификатора единиц измерения дозировки и концентрации действующих веществ в составе лекарственных препаратов» решения Коллегии Евразийской экономической комиссии от </w:t>
      </w:r>
      <w:r>
        <w:rPr>
          <w:rStyle w:val="CharStyle19"/>
          <w:lang w:val="en-US" w:eastAsia="en-US"/>
        </w:rPr>
        <w:t xml:space="preserve">7 </w:t>
      </w:r>
      <w:r>
        <w:rPr>
          <w:rStyle w:val="CharStyle19"/>
        </w:rPr>
        <w:t xml:space="preserve">сентября </w:t>
      </w:r>
      <w:r>
        <w:rPr>
          <w:rStyle w:val="CharStyle19"/>
          <w:lang w:val="en-US" w:eastAsia="en-US"/>
        </w:rPr>
        <w:t xml:space="preserve">2018 </w:t>
      </w:r>
      <w:r>
        <w:rPr>
          <w:rStyle w:val="CharStyle19"/>
        </w:rPr>
        <w:t xml:space="preserve">г. </w:t>
      </w:r>
      <w:r>
        <w:rPr>
          <w:rStyle w:val="CharStyle19"/>
          <w:lang w:val="en-US" w:eastAsia="en-US"/>
        </w:rPr>
        <w:t xml:space="preserve">№ 150 </w:t>
      </w:r>
      <w:r>
        <w:rPr>
          <w:rStyle w:val="CharStyle19"/>
        </w:rPr>
        <w:t>«О классификаторе единиц измерения дозировки и концентрации действующих веществ в составе лекарственных препаратов»</w:t>
      </w:r>
    </w:p>
    <w:tbl>
      <w:tblPr>
        <w:tblOverlap w:val="never"/>
        <w:jc w:val="center"/>
        <w:tblLayout w:type="fixed"/>
      </w:tblPr>
      <w:tblGrid>
        <w:gridCol w:w="2040"/>
        <w:gridCol w:w="2040"/>
        <w:gridCol w:w="2040"/>
        <w:gridCol w:w="2040"/>
        <w:gridCol w:w="2050"/>
      </w:tblGrid>
      <w:tr>
        <w:trPr>
          <w:trHeight w:val="10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Код единиц измерения дозировки и концентрации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Обозначение единиц измерения дозировки и концентрации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Наименование единиц измерения дозировки и концентрации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 xml:space="preserve">Унифицированный код единицы измерения </w:t>
            </w:r>
            <w:r>
              <w:rPr>
                <w:rStyle w:val="CharStyle27"/>
                <w:sz w:val="22"/>
                <w:szCs w:val="22"/>
                <w:lang w:val="en-US" w:eastAsia="en-US"/>
              </w:rPr>
              <w:t>(UCUM)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Признак произвольной единицы</w:t>
            </w:r>
          </w:p>
        </w:tc>
      </w:tr>
      <w:tr>
        <w:trPr>
          <w:trHeight w:val="259" w:hRule="exact"/>
        </w:trPr>
        <w:tc>
          <w:tcPr>
            <w:gridSpan w:val="5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 xml:space="preserve">Единицы, включенные в Межгосударственный классификатор единиц измерения и счета (МК </w:t>
            </w:r>
            <w:r>
              <w:rPr>
                <w:rStyle w:val="CharStyle27"/>
                <w:sz w:val="22"/>
                <w:szCs w:val="22"/>
                <w:lang w:val="en-US" w:eastAsia="en-US"/>
              </w:rPr>
              <w:t>002-97)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2040"/>
        <w:gridCol w:w="2040"/>
        <w:gridCol w:w="2040"/>
        <w:gridCol w:w="2040"/>
        <w:gridCol w:w="2050"/>
      </w:tblGrid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028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ОЕ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оптическая единица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0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051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кв. см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квадратный сантиметр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cm2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миллилитр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mL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112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литр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161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мг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миллиграмм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mg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163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г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грамм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7"/>
                <w:sz w:val="20"/>
                <w:szCs w:val="20"/>
                <w:vertAlign w:val="superscript"/>
                <w:lang w:val="en-US" w:eastAsia="en-US"/>
              </w:rPr>
              <w:t>g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164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мкг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микрограмм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ug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166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кг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килограмм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kg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271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Дж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джоуль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J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273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кДж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килоджоуль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kJ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302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ГБк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гигабеккерель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GBq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303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кБк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килобеккерель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kBq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307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МБк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мегабеккерель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MBq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320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моль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моль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mol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323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Бк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беккерель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Bq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796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Внесистемные физические единицы измерения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O01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нг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нанограмм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ng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O02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мкл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микролитр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uL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O03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нл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нанолитр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nL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O04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Рд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резерфорд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O05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Гр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грей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Gy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O06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рад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рад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RAD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O07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ккал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килокалория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kcal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O08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ммоль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миллимоль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mmol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O09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мкмоль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микромоль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umol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O10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нмоль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наномоль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nmol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O11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Осм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осмоль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osm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b/>
                <w:bCs/>
                <w:sz w:val="22"/>
                <w:szCs w:val="22"/>
                <w:lang w:val="en-US" w:eastAsia="en-US"/>
              </w:rPr>
              <w:t>O12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b/>
                <w:bCs/>
                <w:sz w:val="22"/>
                <w:szCs w:val="22"/>
              </w:rPr>
              <w:t>мОсм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b/>
                <w:bCs/>
                <w:sz w:val="22"/>
                <w:szCs w:val="22"/>
              </w:rPr>
              <w:t>миллиосмоль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b/>
                <w:bCs/>
                <w:sz w:val="22"/>
                <w:szCs w:val="22"/>
                <w:lang w:val="en-US" w:eastAsia="en-US"/>
              </w:rPr>
              <w:t>mosm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744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процент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O14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%, 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процент массовый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O15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%, vol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процент объемный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%{vol}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O16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капля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капля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[drp]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O17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доля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доля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O18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доза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доза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O19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клетка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клетка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{Cells}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O20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млн клеток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млн клеток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O21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млрд клеток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млрд клеток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O22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спора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спора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O23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млрд спор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млрд спор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O24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г/мл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грамм на миллилитр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g/mL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O25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мг/мл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миллиграмм на миллилитр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mg/mL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0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O26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мкг/мл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микрограмм на миллилитр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ug/mL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O27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мкг/мкл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микрограмм на микролитр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ug/uL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0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O28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мг/г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миллиграмм на грамм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mg/g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O29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мкг/г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микрограмм на грамм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ug/g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0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O30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мкг/мг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микрограмм на миллиграмм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ug/mg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O31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ммоль/л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</w:rPr>
              <w:t>миллимоль на литр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7"/>
                <w:sz w:val="22"/>
                <w:szCs w:val="22"/>
                <w:lang w:val="en-US" w:eastAsia="en-US"/>
              </w:rPr>
              <w:t>mmol/L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Таким образом, Заказчик использовал при составлении описания объекта закупки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 xml:space="preserve">обозначение </w:t>
      </w:r>
      <w:r>
        <w:rPr>
          <w:rStyle w:val="CharStyle19"/>
          <w:lang w:val="en-US" w:eastAsia="en-US"/>
        </w:rPr>
        <w:t xml:space="preserve">«mOsm», </w:t>
      </w:r>
      <w:r>
        <w:rPr>
          <w:rStyle w:val="CharStyle19"/>
        </w:rPr>
        <w:t xml:space="preserve">которое предусмотрено решением Коллегии Евразийской экономической комиссии от </w:t>
      </w:r>
      <w:r>
        <w:rPr>
          <w:rStyle w:val="CharStyle19"/>
          <w:lang w:val="en-US" w:eastAsia="en-US"/>
        </w:rPr>
        <w:t xml:space="preserve">7 </w:t>
      </w:r>
      <w:r>
        <w:rPr>
          <w:rStyle w:val="CharStyle19"/>
        </w:rPr>
        <w:t xml:space="preserve">сентября </w:t>
      </w:r>
      <w:r>
        <w:rPr>
          <w:rStyle w:val="CharStyle19"/>
          <w:lang w:val="en-US" w:eastAsia="en-US"/>
        </w:rPr>
        <w:t xml:space="preserve">2018 </w:t>
      </w:r>
      <w:r>
        <w:rPr>
          <w:rStyle w:val="CharStyle19"/>
        </w:rPr>
        <w:t xml:space="preserve">г. </w:t>
      </w:r>
      <w:r>
        <w:rPr>
          <w:rStyle w:val="CharStyle19"/>
          <w:lang w:val="en-US" w:eastAsia="en-US"/>
        </w:rPr>
        <w:t xml:space="preserve">№ 150 </w:t>
      </w:r>
      <w:r>
        <w:rPr>
          <w:rStyle w:val="CharStyle19"/>
        </w:rPr>
        <w:t>«О классификаторе единиц измерения дозировки и концентрации действующих веществ в составе лекарственных препаратов», в связи с чем, в действиях Заказчика не выявлено нарушений положений Закона о контрактной системе.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В жалобе Заявитель указал, что под описание объекта закупки подходит анализатор газов крови </w:t>
      </w:r>
      <w:r>
        <w:rPr>
          <w:rStyle w:val="CharStyle19"/>
          <w:lang w:val="en-US" w:eastAsia="en-US"/>
        </w:rPr>
        <w:t xml:space="preserve">EDAN i500, </w:t>
      </w:r>
      <w:r>
        <w:rPr>
          <w:rStyle w:val="CharStyle19"/>
        </w:rPr>
        <w:t>что приводит к ограничению конкуренции.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Относительно данного довода Комиссия Управления отмечает, что Заявителем в материалы дела не представлено доказательств, свидетельствующих о том, что под описание объекта закупки подходит товар единственного производителя.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Заявителем в жалобе указано, что действия Заказчика нарушают положения статьи </w:t>
      </w:r>
      <w:r>
        <w:rPr>
          <w:rStyle w:val="CharStyle19"/>
          <w:lang w:val="en-US" w:eastAsia="en-US"/>
        </w:rPr>
        <w:t xml:space="preserve">17 </w:t>
      </w:r>
      <w:r>
        <w:rPr>
          <w:rStyle w:val="CharStyle19"/>
        </w:rPr>
        <w:t xml:space="preserve">Федерального закона от </w:t>
      </w:r>
      <w:r>
        <w:rPr>
          <w:rStyle w:val="CharStyle19"/>
          <w:lang w:val="en-US" w:eastAsia="en-US"/>
        </w:rPr>
        <w:t xml:space="preserve">26.07.2006 </w:t>
      </w:r>
      <w:r>
        <w:rPr>
          <w:rStyle w:val="CharStyle19"/>
        </w:rPr>
        <w:t xml:space="preserve">№135-ФЗ «О защите конкуренции» (далее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>Закон о защите конкуренции).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При этом, жалоба Заявителя на действия Заказчика подана в Ханты-Мансийское УФАС России в порядке главы </w:t>
      </w:r>
      <w:r>
        <w:rPr>
          <w:rStyle w:val="CharStyle19"/>
          <w:lang w:val="en-US" w:eastAsia="en-US"/>
        </w:rPr>
        <w:t xml:space="preserve">6 </w:t>
      </w:r>
      <w:r>
        <w:rPr>
          <w:rStyle w:val="CharStyle19"/>
        </w:rPr>
        <w:t>Закона о контрактной системе и рассмотрена Ханты-Мансийским УФАС России в соответствии с требованиями Закона о контрактной системе.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При этом, следует отметить, что в рамках рассмотрения данной жалобы Комиссия Ханты-Мансийского УФАС России не вправе давать оценку действиям Заказчика в части наличия или отсутствия нарушений Закона о защите конкуренции, так как дела о нарушении антимонопольного законодательства рассматриваются в порядке, предусмотренном Законом о защите конкуренции, по процедуре, предусмотренной Административным регламентом ФАС по исполнению государственной функции по возбуждению и рассмотрению дел о нарушениях антимонопольного законодательства, утвержденным Приказом ФАС России от </w:t>
      </w:r>
      <w:r>
        <w:rPr>
          <w:rStyle w:val="CharStyle19"/>
          <w:lang w:val="en-US" w:eastAsia="en-US"/>
        </w:rPr>
        <w:t>25.05.2012 №339.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Учитывая, что в рамках рассмотрения данной жалобы Комиссия Ханты-Мансийского УФАС России не обладает полномочиями по рассмотрению жалоб и обращений в порядке, предусмотренном Законом о защите конкуренции, рассмотрение доводов жалобы в отношении нарушении о защите конкуренции не может быть осуществлено.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В случае наличия достоверных сведений, подтверждающих нарушение Заказчиком антимонопольного законодательства, заинтересованное лицо вправе обратиться в антимонопольный орган с заявлением в порядке предусмотренном статьей </w:t>
      </w:r>
      <w:r>
        <w:rPr>
          <w:rStyle w:val="CharStyle19"/>
          <w:lang w:val="en-US" w:eastAsia="en-US"/>
        </w:rPr>
        <w:t xml:space="preserve">44 </w:t>
      </w:r>
      <w:r>
        <w:rPr>
          <w:rStyle w:val="CharStyle19"/>
        </w:rPr>
        <w:t>Закона о защите конкуренции.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9"/>
        </w:rPr>
        <w:t>На основании вышеизложенного, довод является обоснованным.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Согласно пункту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22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99 </w:t>
      </w:r>
      <w:r>
        <w:rPr>
          <w:rStyle w:val="CharStyle19"/>
        </w:rPr>
        <w:t>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9"/>
        </w:rPr>
        <w:t>На основании вышеизложенного, Комиссия Управления решила выдать обязательное для исполнения предписание.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9"/>
        </w:rPr>
        <w:t xml:space="preserve">Рассмотрев материалы дела, изучив представленные документы представителей сторон, руководствуясь положениями статьи </w:t>
      </w:r>
      <w:r>
        <w:rPr>
          <w:rStyle w:val="CharStyle19"/>
          <w:lang w:val="en-US" w:eastAsia="en-US"/>
        </w:rPr>
        <w:t xml:space="preserve">106 </w:t>
      </w:r>
      <w:r>
        <w:rPr>
          <w:rStyle w:val="CharStyle19"/>
        </w:rPr>
        <w:t>Закона о контрактной системе, Комиссия Управления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15" w:name="bookmark15"/>
      <w:r>
        <w:rPr>
          <w:rStyle w:val="CharStyle17"/>
          <w:b/>
          <w:bCs/>
        </w:rPr>
        <w:t>РЕШИЛА:</w:t>
      </w:r>
      <w:bookmarkEnd w:id="15"/>
      <w:r>
        <w:br w:type="page"/>
      </w:r>
    </w:p>
    <w:p>
      <w:pPr>
        <w:pStyle w:val="Style18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Признать жалобу ООО «УРФО-ЛАБ» (ИНН: </w:t>
      </w:r>
      <w:r>
        <w:rPr>
          <w:rStyle w:val="CharStyle19"/>
          <w:lang w:val="en-US" w:eastAsia="en-US"/>
        </w:rPr>
        <w:t xml:space="preserve">7203385493) </w:t>
      </w:r>
      <w:r>
        <w:rPr>
          <w:rStyle w:val="CharStyle19"/>
        </w:rPr>
        <w:t xml:space="preserve">от </w:t>
      </w:r>
      <w:r>
        <w:rPr>
          <w:rStyle w:val="CharStyle19"/>
          <w:lang w:val="en-US" w:eastAsia="en-US"/>
        </w:rPr>
        <w:t xml:space="preserve">30.04.2026 № 4827/26, </w:t>
      </w:r>
      <w:r>
        <w:rPr>
          <w:rStyle w:val="CharStyle19"/>
        </w:rPr>
        <w:t xml:space="preserve">на действия Заказчика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Казенного учреждения Ханты-Мансийского автономного округа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 xml:space="preserve">Югры «Центр лекарственного мониторинга» при проведении электронного аукциона, предметом которого является поставка медицинских изделий: Анализатор газов крови ИВД, лабораторный, автоматический для оснащения (дооснащения) детских больниц в рамках регионального проекта «Охрана материнства и детства» (извещение </w:t>
      </w:r>
      <w:r>
        <w:rPr>
          <w:rStyle w:val="CharStyle19"/>
          <w:lang w:val="en-US" w:eastAsia="en-US"/>
        </w:rPr>
        <w:t xml:space="preserve">№ 0387200009126001714) </w:t>
      </w:r>
      <w:r>
        <w:rPr>
          <w:rStyle w:val="CharStyle19"/>
        </w:rPr>
        <w:t>частично обоснованной.</w:t>
      </w:r>
    </w:p>
    <w:p>
      <w:pPr>
        <w:pStyle w:val="Style18"/>
        <w:keepNext w:val="0"/>
        <w:keepLines w:val="0"/>
        <w:widowControl w:val="0"/>
        <w:numPr>
          <w:ilvl w:val="1"/>
          <w:numId w:val="13"/>
        </w:numPr>
        <w:shd w:val="clear" w:color="auto" w:fill="auto"/>
        <w:tabs>
          <w:tab w:pos="12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Первый довод обоснованный.</w:t>
      </w:r>
    </w:p>
    <w:p>
      <w:pPr>
        <w:pStyle w:val="Style18"/>
        <w:keepNext w:val="0"/>
        <w:keepLines w:val="0"/>
        <w:widowControl w:val="0"/>
        <w:numPr>
          <w:ilvl w:val="1"/>
          <w:numId w:val="13"/>
        </w:numPr>
        <w:shd w:val="clear" w:color="auto" w:fill="auto"/>
        <w:tabs>
          <w:tab w:pos="12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Второй довод не относится к компетенции Ханты-Мансийского УФАС России.</w:t>
      </w:r>
    </w:p>
    <w:p>
      <w:pPr>
        <w:pStyle w:val="Style18"/>
        <w:keepNext w:val="0"/>
        <w:keepLines w:val="0"/>
        <w:widowControl w:val="0"/>
        <w:numPr>
          <w:ilvl w:val="1"/>
          <w:numId w:val="13"/>
        </w:numPr>
        <w:shd w:val="clear" w:color="auto" w:fill="auto"/>
        <w:tabs>
          <w:tab w:pos="12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Третий довод необоснованный.</w:t>
      </w:r>
    </w:p>
    <w:p>
      <w:pPr>
        <w:pStyle w:val="Style18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9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Признать в действиях Заказчика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Казенного учреждения Ханты-Мансийского автономного округа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 xml:space="preserve">Югры «Центр лекарственного мониторинга» нарушение положений части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33, </w:t>
      </w:r>
      <w:r>
        <w:rPr>
          <w:rStyle w:val="CharStyle19"/>
        </w:rPr>
        <w:t xml:space="preserve">пункта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42 </w:t>
      </w:r>
      <w:r>
        <w:rPr>
          <w:rStyle w:val="CharStyle19"/>
        </w:rPr>
        <w:t xml:space="preserve">Федерального закона от </w:t>
      </w:r>
      <w:r>
        <w:rPr>
          <w:rStyle w:val="CharStyle19"/>
          <w:lang w:val="en-US" w:eastAsia="en-US"/>
        </w:rPr>
        <w:t xml:space="preserve">05.04.2013 № </w:t>
      </w:r>
      <w:r>
        <w:rPr>
          <w:rStyle w:val="CharStyle19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8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6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Выдать обязательное для исполнения предписание.</w:t>
      </w:r>
    </w:p>
    <w:p>
      <w:pPr>
        <w:pStyle w:val="Style18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Передать уполномоченному должностному лицу Ханты-Мансийского УФАС России материалы дела для рассмотрения вопроса о привлечении должностных лиц, допустивших нарушение требований Закона о контрактной системе, к административной ответственности.</w:t>
      </w:r>
    </w:p>
    <w:p>
      <w:pPr>
        <w:pStyle w:val="Style18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0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Направить данное решение сторонам и опубликовать на официальном сайте единой информационной системы в сфере закупок </w:t>
      </w:r>
      <w:r>
        <w:rPr>
          <w:rStyle w:val="CharStyle19"/>
          <w:lang w:val="en-US" w:eastAsia="en-US"/>
        </w:rPr>
        <w:t>(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rStyle w:val="CharStyle19"/>
          <w:color w:val="000080"/>
          <w:u w:val="single"/>
          <w:lang w:val="en-US" w:eastAsia="en-US"/>
        </w:rPr>
        <w:t>www.zakupki.gov.ru</w:t>
      </w:r>
      <w:r>
        <w:fldChar w:fldCharType="end"/>
      </w:r>
      <w:r>
        <w:rPr>
          <w:rStyle w:val="CharStyle19"/>
          <w:lang w:val="en-US" w:eastAsia="en-US"/>
        </w:rPr>
        <w:t>).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10" w:right="535" w:bottom="1249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8000" distB="249555" distL="0" distR="0" simplePos="0" relativeHeight="125829379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508000</wp:posOffset>
                </wp:positionV>
                <wp:extent cx="1569720" cy="21653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149999999999999pt;margin-top:40.pt;width:123.60000000000001pt;height:17.050000000000001pt;z-index:-125829374;mso-wrap-distance-left:0;mso-wrap-distance-top:40.pt;mso-wrap-distance-right:0;mso-wrap-distance-bottom:19.650000000000002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77850" distB="0" distL="0" distR="1786255" simplePos="0" relativeHeight="125829381" behindDoc="0" locked="0" layoutInCell="1" allowOverlap="1">
            <wp:simplePos x="0" y="0"/>
            <wp:positionH relativeFrom="page">
              <wp:posOffset>2655570</wp:posOffset>
            </wp:positionH>
            <wp:positionV relativeFrom="paragraph">
              <wp:posOffset>577850</wp:posOffset>
            </wp:positionV>
            <wp:extent cx="359410" cy="39624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3075940</wp:posOffset>
                </wp:positionH>
                <wp:positionV relativeFrom="paragraph">
                  <wp:posOffset>666115</wp:posOffset>
                </wp:positionV>
                <wp:extent cx="1722120" cy="25908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2.20000000000002pt;margin-top:52.45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08000" distB="249555" distL="0" distR="0" simplePos="0" relativeHeight="125829382" behindDoc="0" locked="0" layoutInCell="1" allowOverlap="1">
                <wp:simplePos x="0" y="0"/>
                <wp:positionH relativeFrom="page">
                  <wp:posOffset>6383655</wp:posOffset>
                </wp:positionH>
                <wp:positionV relativeFrom="paragraph">
                  <wp:posOffset>508000</wp:posOffset>
                </wp:positionV>
                <wp:extent cx="801370" cy="21653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137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9"/>
                              </w:rPr>
                              <w:t>С.А. Бочков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02.65000000000003pt;margin-top:40.pt;width:63.100000000000001pt;height:17.050000000000001pt;z-index:-125829371;mso-wrap-distance-left:0;mso-wrap-distance-top:40.pt;mso-wrap-distance-right:0;mso-wrap-distance-bottom:19.650000000000002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9"/>
                        </w:rPr>
                        <w:t>С.А. Бочков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36"/>
          <w:color w:val="FFFFFF"/>
        </w:rPr>
        <w:t>СВЕДЕНИЯ О СЕРТИФИКАТЕ ЭП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38"/>
        </w:rPr>
        <w:t xml:space="preserve">Кому </w:t>
      </w:r>
      <w:r>
        <w:rPr>
          <w:rStyle w:val="CharStyle38"/>
          <w:color w:val="565656"/>
        </w:rPr>
        <w:t xml:space="preserve">выдан: </w:t>
      </w:r>
      <w:r>
        <w:rPr>
          <w:rStyle w:val="CharStyle38"/>
          <w:color w:val="000000"/>
          <w:sz w:val="11"/>
          <w:szCs w:val="11"/>
        </w:rPr>
        <w:t>Бочков Сергей Александрович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8"/>
        </w:rPr>
        <w:t xml:space="preserve">Сертификат </w:t>
      </w:r>
      <w:r>
        <w:rPr>
          <w:rStyle w:val="CharStyle38"/>
          <w:color w:val="292929"/>
        </w:rPr>
        <w:t xml:space="preserve">№ </w:t>
      </w:r>
      <w:r>
        <w:rPr>
          <w:rStyle w:val="CharStyle38"/>
          <w:lang w:val="en-US" w:eastAsia="en-US"/>
        </w:rPr>
        <w:t>3594F9724E4D48CCCC80D14CBA75D809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8"/>
        </w:rPr>
        <w:t xml:space="preserve">Действителен с 18.02.2026 </w:t>
      </w:r>
      <w:r>
        <w:rPr>
          <w:rStyle w:val="CharStyle38"/>
          <w:color w:val="565656"/>
        </w:rPr>
        <w:t>по 14.05.2027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9"/>
        </w:rPr>
        <w:t>Члены комиссии: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2655570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3115945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5.34999999999999pt;margin-top:36.89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3075940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20000000000002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9"/>
        </w:rPr>
        <w:t>О.Н. Михайлова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38"/>
        </w:rPr>
        <w:t xml:space="preserve">Кому выдан: </w:t>
      </w:r>
      <w:r>
        <w:rPr>
          <w:rStyle w:val="CharStyle38"/>
          <w:color w:val="000000"/>
          <w:sz w:val="11"/>
          <w:szCs w:val="11"/>
        </w:rPr>
        <w:t>Михайлова Ольга Николаевна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8"/>
        </w:rPr>
        <w:t xml:space="preserve">Сертификат </w:t>
      </w:r>
      <w:r>
        <w:rPr>
          <w:rStyle w:val="CharStyle38"/>
          <w:color w:val="292929"/>
        </w:rPr>
        <w:t xml:space="preserve">№ </w:t>
      </w:r>
      <w:r>
        <w:rPr>
          <w:rStyle w:val="CharStyle38"/>
          <w:lang w:val="en-US" w:eastAsia="en-US"/>
        </w:rPr>
        <w:t>00BF196A4D686B13EAB643D2586BD99680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rStyle w:val="CharStyle38"/>
        </w:rPr>
        <w:t xml:space="preserve">Действителен с 04.04.2025 </w:t>
      </w:r>
      <w:r>
        <w:rPr>
          <w:rStyle w:val="CharStyle38"/>
          <w:color w:val="565656"/>
        </w:rPr>
        <w:t xml:space="preserve">по </w:t>
      </w:r>
      <w:r>
        <w:rPr>
          <w:rStyle w:val="CharStyle38"/>
        </w:rPr>
        <w:t>28.06.2026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0" w:right="0" w:firstLine="0"/>
        <w:jc w:val="right"/>
      </w:pPr>
      <w:r>
        <w:drawing>
          <wp:anchor distT="0" distB="0" distL="114300" distR="1931035" simplePos="0" relativeHeight="125829385" behindDoc="0" locked="0" layoutInCell="1" allowOverlap="1">
            <wp:simplePos x="0" y="0"/>
            <wp:positionH relativeFrom="page">
              <wp:posOffset>2686050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3075940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20000000000002pt;margin-top:11.8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9"/>
        </w:rPr>
        <w:t>А.В. Шаврин</w:t>
      </w:r>
    </w:p>
    <w:p>
      <w:pPr>
        <w:pStyle w:val="Style3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36"/>
          <w:color w:val="FFFFFF"/>
        </w:rPr>
        <w:t>СВЕДЕНИЯ О СЕРТИФИКАТЕ ЭП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38"/>
        </w:rPr>
        <w:t xml:space="preserve">Кому выдан: </w:t>
      </w:r>
      <w:r>
        <w:rPr>
          <w:rStyle w:val="CharStyle38"/>
          <w:color w:val="000000"/>
          <w:sz w:val="11"/>
          <w:szCs w:val="11"/>
        </w:rPr>
        <w:t>Шаврин Александр Владимирович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8"/>
        </w:rPr>
        <w:t xml:space="preserve">Сертификат </w:t>
      </w:r>
      <w:r>
        <w:rPr>
          <w:rStyle w:val="CharStyle38"/>
          <w:color w:val="292929"/>
        </w:rPr>
        <w:t xml:space="preserve">№ </w:t>
      </w:r>
      <w:r>
        <w:rPr>
          <w:rStyle w:val="CharStyle38"/>
          <w:lang w:val="en-US" w:eastAsia="en-US"/>
        </w:rPr>
        <w:t>00C45121FBA9F083EE218EFC6C4D70B71</w:t>
      </w:r>
      <w:r>
        <w:rPr>
          <w:rStyle w:val="CharStyle38"/>
          <w:lang w:val="en-US" w:eastAsia="en-US"/>
        </w:rPr>
        <w:t>0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38"/>
        </w:rPr>
        <w:t xml:space="preserve">Действителен с 01.08.2025 </w:t>
      </w:r>
      <w:r>
        <w:rPr>
          <w:rStyle w:val="CharStyle38"/>
          <w:color w:val="565656"/>
        </w:rPr>
        <w:t xml:space="preserve">по </w:t>
      </w:r>
      <w:r>
        <w:rPr>
          <w:rStyle w:val="CharStyle38"/>
        </w:rPr>
        <w:t>25.10.2026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10075545</wp:posOffset>
              </wp:positionV>
              <wp:extent cx="652145" cy="12509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2026-3592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950000000000003pt;margin-top:793.35000000000002pt;width:51.35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2026-3592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9854565</wp:posOffset>
              </wp:positionV>
              <wp:extent cx="652145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  <w:lang w:val="ru-RU" w:eastAsia="ru-RU"/>
                            </w:rPr>
                            <w:t>2026-3592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5.95000000000005pt;width:51.35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  <w:lang w:val="ru-RU" w:eastAsia="ru-RU"/>
                      </w:rPr>
                      <w:t>2026-3592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2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6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46609A"/>
      <w:sz w:val="74"/>
      <w:szCs w:val="74"/>
      <w:u w:val="single"/>
      <w:lang w:val="en-US" w:eastAsia="en-US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8">
    <w:name w:val="Body text (3)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2">
    <w:name w:val="Body text (5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6"/>
      <w:szCs w:val="16"/>
      <w:u w:val="none"/>
    </w:rPr>
  </w:style>
  <w:style w:type="character" w:customStyle="1" w:styleId="CharStyle14">
    <w:name w:val="Heading #1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7">
    <w:name w:val="Heading #2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9">
    <w:name w:val="Body text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2">
    <w:name w:val="Picture caption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7">
    <w:name w:val="Other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30">
    <w:name w:val="Table caption_"/>
    <w:basedOn w:val="DefaultParagraphFont"/>
    <w:link w:val="Style2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36">
    <w:name w:val="Body text (4)_"/>
    <w:basedOn w:val="DefaultParagraphFont"/>
    <w:link w:val="Style3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8">
    <w:name w:val="Body text (2)_"/>
    <w:basedOn w:val="DefaultParagraphFont"/>
    <w:link w:val="Style37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Body text (6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6609A"/>
      <w:sz w:val="74"/>
      <w:szCs w:val="74"/>
      <w:u w:val="single"/>
      <w:lang w:val="en-US" w:eastAsia="en-US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7">
    <w:name w:val="Body text (3)"/>
    <w:basedOn w:val="Normal"/>
    <w:link w:val="CharStyle8"/>
    <w:pPr>
      <w:widowControl w:val="0"/>
      <w:shd w:val="clear" w:color="auto" w:fill="auto"/>
      <w:spacing w:after="4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11">
    <w:name w:val="Body text (5)"/>
    <w:basedOn w:val="Normal"/>
    <w:link w:val="CharStyle12"/>
    <w:pPr>
      <w:widowControl w:val="0"/>
      <w:shd w:val="clear" w:color="auto" w:fill="auto"/>
      <w:spacing w:line="283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6"/>
      <w:szCs w:val="16"/>
      <w:u w:val="none"/>
    </w:rPr>
  </w:style>
  <w:style w:type="paragraph" w:customStyle="1" w:styleId="Style13">
    <w:name w:val="Heading #1"/>
    <w:basedOn w:val="Normal"/>
    <w:link w:val="CharStyle14"/>
    <w:pPr>
      <w:widowControl w:val="0"/>
      <w:shd w:val="clear" w:color="auto" w:fill="auto"/>
      <w:spacing w:after="26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6">
    <w:name w:val="Heading #2"/>
    <w:basedOn w:val="Normal"/>
    <w:link w:val="CharStyle17"/>
    <w:pPr>
      <w:widowControl w:val="0"/>
      <w:shd w:val="clear" w:color="auto" w:fill="auto"/>
      <w:spacing w:after="5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styleId="Style18">
    <w:name w:val="Body text"/>
    <w:basedOn w:val="Normal"/>
    <w:link w:val="CharStyle19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1">
    <w:name w:val="Picture caption"/>
    <w:basedOn w:val="Normal"/>
    <w:link w:val="CharStyle2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6">
    <w:name w:val="Other"/>
    <w:basedOn w:val="Normal"/>
    <w:link w:val="CharStyle2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9">
    <w:name w:val="Table caption"/>
    <w:basedOn w:val="Normal"/>
    <w:link w:val="CharStyle30"/>
    <w:pPr>
      <w:widowControl w:val="0"/>
      <w:shd w:val="clear" w:color="auto" w:fill="auto"/>
      <w:ind w:firstLine="72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35">
    <w:name w:val="Body text (4)"/>
    <w:basedOn w:val="Normal"/>
    <w:link w:val="CharStyle36"/>
    <w:pPr>
      <w:widowControl w:val="0"/>
      <w:shd w:val="clear" w:color="auto" w:fill="auto"/>
      <w:spacing w:after="100"/>
      <w:ind w:left="38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7">
    <w:name w:val="Body text (2)"/>
    <w:basedOn w:val="Normal"/>
    <w:link w:val="CharStyle38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png"/><Relationship Id="rId8" Type="http://schemas.openxmlformats.org/officeDocument/2006/relationships/image" Target="media/image1.pn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