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08330" cy="7454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08330" cy="745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7"/>
        </w:rPr>
        <w:t>ул. КЛибкнехта, д.3, корп.1,</w:t>
        <w:br/>
        <w:t>г, Архангельск, 163000</w:t>
        <w:br/>
        <w:t>Тел.: (8182) 20-73-21, Факс: (8182) 21-54-45</w:t>
        <w:br/>
      </w:r>
      <w:r>
        <w:rPr>
          <w:rStyle w:val="CharStyle7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7"/>
          <w:lang w:val="en-US" w:eastAsia="en-US"/>
        </w:rPr>
        <w:t>to29@fas.gov.ru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hanging="160"/>
        <w:jc w:val="left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 № </w:t>
      </w:r>
      <w:r>
        <w:rPr>
          <w:rStyle w:val="CharStyle3"/>
          <w:i/>
          <w:iCs/>
          <w:color w:val="170E44"/>
          <w:sz w:val="24"/>
          <w:szCs w:val="24"/>
          <w:lang w:val="en-US" w:eastAsia="en-US"/>
        </w:rPr>
        <w:t>Q^Q^/^A^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</w:rPr>
        <w:t xml:space="preserve">На№  от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Style w:val="CharStyle3"/>
          <w:b/>
          <w:bCs/>
        </w:rPr>
        <w:t>Дело № 77фз-26 029/06/105-431/2026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  <w:u w:val="single"/>
        </w:rPr>
        <w:t>Заказчик;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</w:rPr>
        <w:t>ФКУ «Колония-поселение №19 с особыми условиями хозяйственной деятельности Управления Федеральной службы исполнения наказаний по Архангельской области»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164650 Архангельская область Пинежский район п.Междуреченский ул. Центральная д.4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"mailto:ouxd-l@mail.ru" </w:instrText>
      </w:r>
      <w:r>
        <w:fldChar w:fldCharType="separate"/>
      </w:r>
      <w:r>
        <w:rPr>
          <w:rStyle w:val="CharStyle3"/>
          <w:lang w:val="en-US" w:eastAsia="en-US"/>
        </w:rPr>
        <w:t>ouxd-l@mail.ru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  <w:u w:val="single"/>
        </w:rPr>
        <w:t>Оператор электронной площадки;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</w:rPr>
        <w:t>АО «Сбербанк-АСТ»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119435, г. Москва, Большой Саввинский переулок, д. 12, стр. 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549" w:right="677" w:bottom="1287" w:left="2025" w:header="0" w:footer="3" w:gutter="0"/>
          <w:pgNumType w:start="1"/>
          <w:cols w:num="2" w:space="695"/>
          <w:noEndnote/>
          <w:titlePg/>
          <w:rtlGutter w:val="0"/>
          <w:docGrid w:linePitch="360"/>
        </w:sectPr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3"/>
          <w:lang w:val="en-US" w:eastAsia="en-US"/>
        </w:rPr>
        <w:t>ko@sberbank-ast.ru</w:t>
      </w:r>
      <w:r>
        <w:fldChar w:fldCharType="end"/>
      </w:r>
    </w:p>
    <w:p>
      <w:pPr>
        <w:widowControl w:val="0"/>
        <w:spacing w:line="144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6" w:right="0" w:bottom="119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500" w:right="0" w:firstLine="0"/>
        <w:jc w:val="left"/>
      </w:pPr>
      <w:r>
        <w:rPr>
          <w:rStyle w:val="CharStyle3"/>
          <w:b/>
          <w:bCs/>
          <w:u w:val="single"/>
        </w:rPr>
        <w:t>Заявитель;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500" w:right="0" w:firstLine="0"/>
        <w:jc w:val="left"/>
      </w:pPr>
      <w:r>
        <w:rPr>
          <w:rStyle w:val="CharStyle3"/>
          <w:b/>
          <w:bCs/>
        </w:rPr>
        <w:t>Общество с ограниченной ответственностью «Бюджетные поставки»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5500" w:right="0" w:hanging="280"/>
        <w:jc w:val="both"/>
      </w:pPr>
      <w:r>
        <w:rPr>
          <w:rStyle w:val="CharStyle3"/>
        </w:rPr>
        <w:t>• 127238, г.Москва, вн.тер.г, муниципальный округ Западное Дегунино, ул Верхнелихоборская, д: 8, ком. 29, офис 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550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"mailto:79853092111@mail.ru" </w:instrText>
      </w:r>
      <w:r>
        <w:fldChar w:fldCharType="separate"/>
      </w:r>
      <w:r>
        <w:rPr>
          <w:rStyle w:val="CharStyle3"/>
          <w:lang w:val="en-US" w:eastAsia="en-US"/>
        </w:rPr>
        <w:t>79853092111@mail.ru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909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Style w:val="CharStyle3"/>
          <w:b/>
          <w:bCs/>
        </w:rPr>
        <w:t>07 мая 2026 года</w:t>
        <w:tab/>
        <w:t>г. Архангельск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Руководствуясь Письмом ФАС 'России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  <w:b/>
          <w:bCs/>
          <w:u w:val="single"/>
        </w:rPr>
        <w:t>Председатель комиссии;</w:t>
      </w:r>
      <w:r>
        <w:rPr>
          <w:rStyle w:val="CharStyle3"/>
          <w:b/>
          <w:bCs/>
        </w:rPr>
        <w:t xml:space="preserve"> ~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35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Style w:val="CharStyle3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2260" w:right="0" w:firstLine="0"/>
        <w:jc w:val="left"/>
      </w:pPr>
      <w:r>
        <w:rPr>
          <w:rStyle w:val="CharStyle3"/>
        </w:rPr>
        <w:t>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left"/>
      </w:pPr>
      <w:r>
        <w:rPr>
          <w:rStyle w:val="CharStyle3"/>
          <w:b/>
          <w:bCs/>
          <w:u w:val="single"/>
        </w:rPr>
        <w:t>Члены комиссии;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Вознесенская Н.В.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3"/>
        </w:rPr>
        <w:t>Елисеенков А. А. •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66" w:lineRule="auto"/>
        <w:ind w:left="0" w:right="0" w:firstLine="740"/>
        <w:jc w:val="both"/>
      </w:pPr>
      <w:bookmarkStart w:id="0" w:name="bookmark0"/>
      <w:r>
        <w:rPr>
          <w:rStyle w:val="CharStyle13"/>
          <w:b/>
          <w:bCs/>
        </w:rPr>
        <w:t>в присутствии представителей от: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740"/>
        <w:jc w:val="both"/>
      </w:pPr>
      <w:r>
        <w:rPr>
          <w:rStyle w:val="CharStyle3"/>
          <w:b/>
          <w:bCs/>
        </w:rPr>
        <w:t xml:space="preserve">Заявителя: </w:t>
      </w:r>
      <w:r>
        <w:rPr>
          <w:rStyle w:val="CharStyle3"/>
        </w:rPr>
        <w:t>Когана Д.Б. (доверенность от 01.05.2026 № 1), Федотовой О.В. (доверенность от 13.04.2026 № 16);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740"/>
        <w:jc w:val="both"/>
      </w:pPr>
      <w:r>
        <w:rPr>
          <w:rStyle w:val="CharStyle3"/>
          <w:b/>
          <w:bCs/>
        </w:rPr>
        <w:t xml:space="preserve">Заказчика: </w:t>
      </w:r>
      <w:r>
        <w:rPr>
          <w:rStyle w:val="CharStyle3"/>
        </w:rPr>
        <w:t>Балашова В.Л. (доверенность от 30.03.2026 № б/н).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2" w:name="bookmark2"/>
      <w:r>
        <w:rPr>
          <w:rStyle w:val="CharStyle13"/>
          <w:b/>
          <w:bCs/>
          <w:u w:val="none"/>
        </w:rPr>
        <w:t>УСТАНОВИЛА: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</w:rPr>
        <w:t>29 апреля 2026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«Бюджетные поставки» (далее - Заявитель) на действия заказчика - ФКУ «Колония-поселение №19 с особыми условиями хозяйственной деятельности Управления Федеральной службы исполнения наказаний по Архангельской области» (далее - Заказчик), при проведении запроса котировок в электронной форме на право заключения государственного контракта на поставку комплектующих к автоматизированным рабочим местам (извещение №0324100010626000024).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71" w:lineRule="auto"/>
        <w:ind w:left="0" w:right="0" w:firstLine="740"/>
        <w:jc w:val="both"/>
      </w:pPr>
      <w:bookmarkStart w:id="4" w:name="bookmark4"/>
      <w:r>
        <w:rPr>
          <w:rStyle w:val="CharStyle13"/>
          <w:b/>
          <w:bCs/>
        </w:rPr>
        <w:t>Содержание жалобы: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1" w:lineRule="auto"/>
        <w:ind w:left="0" w:right="0" w:firstLine="740"/>
        <w:jc w:val="both"/>
      </w:pPr>
      <w:r>
        <w:rPr>
          <w:rStyle w:val="CharStyle3"/>
        </w:rPr>
        <w:t>Заявитель обжалует действия Заказчика в связи с размещением извещения, не 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</w:rPr>
        <w:t>Заказчик не согласен с доводами Заявителя по основаниям, изложенным в объяснении по жалобе от 06.05.2026 № исх-29/то/57/15-1277.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  <w:b/>
          <w:bCs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 xml:space="preserve">27.04.2026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3"/>
          <w:lang w:val="en-US" w:eastAsia="en-US"/>
        </w:rPr>
        <w:t>http://zakupki.gov.ru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размещено извещение №0324100010626000024 о проведении запроса котировок в электронной форме на право заключения государственного контракта на поставку комплектующих к автоматизированным рабочим местам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Начальная (максимальная) цена государственного контракта - 327 678,3 8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</w:rPr>
        <w:t>Оператор электронной площадки - АО «Сбербанк-</w:t>
      </w:r>
      <w:r>
        <w:rPr>
          <w:rStyle w:val="CharStyle3"/>
          <w:lang w:val="en-US" w:eastAsia="en-US"/>
        </w:rPr>
        <w:t>ACT</w:t>
      </w:r>
      <w:r>
        <w:rPr>
          <w:rStyle w:val="CharStyle3"/>
        </w:rPr>
        <w:t>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  <w:i/>
          <w:iCs/>
        </w:rPr>
        <w:t xml:space="preserve">В своей жалобе Заявитель указывает, что при размещении извещения об осуществлении закупки следовало выделить </w:t>
      </w:r>
      <w:r>
        <w:rPr>
          <w:rStyle w:val="CharStyle3"/>
          <w:i/>
          <w:iCs/>
          <w:lang w:val="en-US" w:eastAsia="en-US"/>
        </w:rPr>
        <w:t>HDD</w:t>
      </w:r>
      <w:r>
        <w:rPr>
          <w:rStyle w:val="CharStyle3"/>
          <w:i/>
          <w:iCs/>
        </w:rPr>
        <w:t xml:space="preserve">-накопитель (позиция № 1) в отдельный лот для того, чтобы могла быть применена защитная мера в виде "ограничения”, установленная по отношению ко всем закупаемым позициям, в связи с тем, что закупаемый </w:t>
      </w:r>
      <w:r>
        <w:rPr>
          <w:rStyle w:val="CharStyle3"/>
          <w:i/>
          <w:iCs/>
          <w:lang w:val="en-US" w:eastAsia="en-US"/>
        </w:rPr>
        <w:t>HDD</w:t>
      </w:r>
      <w:r>
        <w:rPr>
          <w:rStyle w:val="CharStyle3"/>
          <w:i/>
          <w:iCs/>
        </w:rPr>
        <w:t>-накопитель производится исключительного иностранными компаниями.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В силу пункта 15 части 1 статьи 42 ФЗ «О контрактной системе» в извещении об осуществлении закупки должна содержаться информация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46" w:right="817" w:bottom="1192" w:left="1315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Частью 1 статьи 14 ФЗ «О контрактной системе» определено,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вьшолняемой, оказываемой российским гражданином или российским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юридическим лицом (далее - российское лицо), за исключением случаев принятия Правительством Российской Федерации мер, предусмотренных пунктом 1 части 2 данной статьи. Если иное не предусмотрено мерами, принятыми Правительством Российской Федерации в соответствии с пунктом 1 части 2 данной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вьшолняемой,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вьшолняемой, оказываемой российским лицом.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Согласно пункта 1 части 2 статьи 14 «О контрактной системе» Правительство Российской Федерации вправе с учетом положений части 3 данной статьи принимать меры: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запрет закупок товаров (в том числе поставляемых при вьшолнении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ограничение закупок товаров (в том числе поставляемых при вьшолнении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Постановлением Правительства Российской Федерации от 23.12.2024 № 1875 утверждены меры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(далее - Постановление № 1875).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Пунктом 1 Постановления № 1875 при осуществлении закупок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 закупок в соответствии с Федеральным законом "О закупках товаров, работ, услуг отдельными видами юридических лиц" установлен: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вьшолняемых, оказываемых иностранными гражданами, иностранными юридическими лицами (далее - иностранные лица), по перечню согласно приложению № 1, а также закупок в рамках государственного оборонного заказа для вьшолнения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№ 2;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В Извещении установлены ограничения допуска товаров, происходящих из иностранного государства, в соответствии с Постановлением № 1875, поскольку Заказчиком была использована позиция КТРУ 26.20.21.110-00000003 «Накопитель данных внутренний» которая включает в себя укрупненную позицию ОКПД 2 26.20.2 включенную в Перечень №2 Постановления №1875 под номером № 203.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В заседании Комиссии представитель Заказчика пояснил, что в рамках данной закупки заказчиком приобретаются товары в соответствии с потребностью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</w:rPr>
        <w:t>На все закупаемые изделия распространяется защитная мера в виде "ограничения", законные основания для выделения в отдельный лот позиций № 1 отсутствуют. Положения Постановления № 1875 не обязывают заказчика формировать закупку таким образом, чтобы установленные в рамках национального режима ограничения непременно применялись.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Проанализировав материалы дела, Комиссия Архангельского УФАС России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Комиссия Архангельского УФАС России отмечает, что согласно пункту 6.1 информационного письма Минфина России от 31.01.2025 №24-01 -06/8697 "О применении положений постановления Правительства Российской Федерации от 23 декабря 2024 года №1875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заказчик самостоятельно формирует объект закупки (предмет закупки) в соответствии с законодательством Российской Федерации, исходя из имеющихся потребностей в закупаемых товарах, работах, услугах, и вправе объединить в объекте одной закупки (предмете одной закупки) несколько товаров, работ, услуг при условии, если осуществляемое объединение не противоречит требованиям нормативных правовых актов, не допускающих объединение в объекте одной закупки (предмете одной закупки) определенных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Постановление № 1875 не содержит прямой запрет на объединение в один лот закупки товаров, не включенных ни в один перечень, то есть по отношению к которым применяется защитная мера в виде "преимущество", равно как и товаров, включенных в разные перечни постановления, а также товаров иностранного и российского происхождения (за исключением отдельных случаев, когда не могут быть включены в предмет одного контракта (одного лота) определенные товары).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Заявителем не приведено ссылок на конкретные положения Постановления № 1875, которыми бы заказчику вменялась обязанность выделения закупаемых в данном аукционе в разные лоты.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  <w:b/>
          <w:bCs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r>
        <w:rPr>
          <w:rStyle w:val="CharStyle3"/>
          <w:i/>
          <w:iCs/>
        </w:rPr>
        <w:t xml:space="preserve">Заявитель в своей жалобе указывает, что товар по позиции 1 Извещения с наименованием «Накопитель данных внутренний» отсутствуют в реестре российской промышленной продукции, и при этом, в нарушение подпункта «а» пункта 7 Постановления. </w:t>
      </w:r>
      <w:r>
        <w:rPr>
          <w:rStyle w:val="CharStyle3"/>
          <w:i/>
          <w:iCs/>
          <w:lang w:val="en-US" w:eastAsia="en-US"/>
        </w:rPr>
        <w:t xml:space="preserve">Ne </w:t>
      </w:r>
      <w:r>
        <w:rPr>
          <w:rStyle w:val="CharStyle3"/>
          <w:i/>
          <w:iCs/>
        </w:rPr>
        <w:t>1875, данный факт Заказчиком в Извещении не задекларирован.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В соответствии с Извещением, Объектом закупки является "Поставка комплектующих к автоматизированным рабочим местам" состоящее из следующих позиций: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 xml:space="preserve">Накопитель данных внутренний - </w:t>
      </w:r>
      <w:r>
        <w:rPr>
          <w:rStyle w:val="CharStyle3"/>
          <w:lang w:val="en-US" w:eastAsia="en-US"/>
        </w:rPr>
        <w:t>HDD;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 xml:space="preserve">Накопитель данных внутренний - </w:t>
      </w:r>
      <w:r>
        <w:rPr>
          <w:rStyle w:val="CharStyle3"/>
          <w:lang w:val="en-US" w:eastAsia="en-US"/>
        </w:rPr>
        <w:t>SSD;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Клавиатура;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Мышь компьютерная;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5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Монитор, подключаемый к компьютеру.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В Извещении установлены ограничения допуска товаров, происходящих из иностранного государства, в соответствии с Постановлением № 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3"/>
        </w:rPr>
        <w:t>В соответствии с частью 1.1 статьи 33 ФЗ "О контрактной системе"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данного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  <w:sectPr>
          <w:headerReference w:type="default" r:id="rId10"/>
          <w:headerReference w:type="even" r:id="rId11"/>
          <w:head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846" w:right="817" w:bottom="1192" w:left="1315" w:header="0" w:footer="3" w:gutter="0"/>
          <w:cols w:space="720"/>
          <w:noEndnote/>
          <w:titlePg/>
          <w:rtlGutter w:val="0"/>
          <w:docGrid w:linePitch="360"/>
        </w:sectPr>
      </w:pPr>
      <w:r>
        <w:rPr>
          <w:rStyle w:val="CharStyle3"/>
        </w:rPr>
        <w:t>Согласно абзацу 4 подпункта «а» пункта 7 Постановления № 1875 для целей осуществлении закупок в соответствии с ФЗ "О контрактной системе" особенностями описания объекта закупки, являющегося товаром (в том числе поставляемым при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rStyle w:val="CharStyle3"/>
        </w:rPr>
        <w:t>выполнении закупаемых работ, оказании закупаемых услуг), производство которого на территории Российской Федерации отсутствует, при осуществлении закупки товаров, указанных в позициях 1 - 433 приложения № 2 к Постановлению № 1875, является декларирование в извещении об осуществлении закупки или в приглашении принять участие в определении поставщика (подрядчика, исполнителя) факта отсутствия в реестре российской промьплленной продукции такого товара с характеристиками, соответствующими потребности заказчика, указание в описании объекта закупки характеристик товара, потребность в котором имеется у заказчика и который отсутствует в реестре российской промышленной продукции,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продукции, которое должно содержать информацию о заказчике (место нахождения, почтовый адрес, адрес электронной почты, номер контактного телефона) и о товаре, потребность в котором имеется у заказчика и который отсутствует в реестре российской промышленной продукции (наименование товара, код товара по Общероссийскому классификатору продукции по видам экономической деятельности ОК 034-2014 (КПЕС 2008), код товара по единой Товарной номенклатуре внешнеэкономической деятельности Евразийского экономического союза, предусмотренной правом Евразийского экономического союза, и характеристики такого товара).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720"/>
        <w:jc w:val="both"/>
      </w:pPr>
      <w:r>
        <w:rPr>
          <w:rStyle w:val="CharStyle3"/>
        </w:rPr>
        <w:t xml:space="preserve">Комиссии Архангельского УФАС России установлено, и Заказчиком не отрицается, что по позиции № 1 использовались характеристики товара иностранного происхождения, о чем прямо имеется указание в описании товара, в том числе, указание на конкретную модель товара - Накопитель данных внутренний </w:t>
      </w:r>
      <w:r>
        <w:rPr>
          <w:rStyle w:val="CharStyle3"/>
          <w:lang w:val="en-US" w:eastAsia="en-US"/>
        </w:rPr>
        <w:t xml:space="preserve">HDD </w:t>
      </w:r>
      <w:r>
        <w:rPr>
          <w:rStyle w:val="CharStyle3"/>
        </w:rPr>
        <w:t xml:space="preserve">14 Тб </w:t>
      </w:r>
      <w:r>
        <w:rPr>
          <w:rStyle w:val="CharStyle3"/>
          <w:lang w:val="en-US" w:eastAsia="en-US"/>
        </w:rPr>
        <w:t xml:space="preserve">WD142PURP </w:t>
      </w:r>
      <w:r>
        <w:rPr>
          <w:rStyle w:val="CharStyle3"/>
        </w:rPr>
        <w:t>(или эквивалент).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Проанализировав материалы дела, Комиссия Архангельского УФАС России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 xml:space="preserve">Заявителем в жалобе указано на отсутствие в реестре российской промьплленной продукции товаров с характеристикой «Накопитель данных внутренний </w:t>
      </w:r>
      <w:r>
        <w:rPr>
          <w:rStyle w:val="CharStyle3"/>
          <w:lang w:val="en-US" w:eastAsia="en-US"/>
        </w:rPr>
        <w:t>HDD».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При этом, Заказчик в материалы дела не представил подтверждение наличия товара российского происхождения с характеристиками, соответствующими потребности Заказчика и нахождение такого товара в реестре российской промышленной продукции.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Следовательно, у Заказчика была обязанность продекларировать в Извещении факт отсутствия в реестре российской промьплленной продукции товара по позиции № 1 с характеристиками, соответствующими потребности Заказчика, а также включить в описание объекта закупки копию направленного до начала осуществления закупки в Минпромторг РФ уведомления об отсутствии закупаемого товара в реестре российской промышленной продукции.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Однако, Заказчиком данный факт не продекларирован, и в составе Извещения не размещено уведомление Минпромторга РФ об отсутствии закупаемого товара в реестре российской промышленной продукции.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  <w:b/>
          <w:bCs/>
        </w:rPr>
        <w:t>Таким образом, Заказчик нарушил часть 1.1 статьи 33 ФЗ «О контрактной системе», подпункт ”а" пункта 7 Постановления № 1875.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В указанных действиях Заказчика содержатся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 (далее -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При проведении внеплановой проверки на основании пункта 1 части 15 статьи 99 ФЗ «О контрактной системе» данной закупки иных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720"/>
        <w:jc w:val="both"/>
      </w:pPr>
      <w:r>
        <w:rPr>
          <w:rStyle w:val="CharStyle3"/>
        </w:rPr>
        <w:t>Руководствуясь пунктом 1 части 15 статьи 99, частью 2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rStyle w:val="CharStyle13"/>
          <w:b/>
          <w:bCs/>
          <w:u w:val="none"/>
        </w:rPr>
        <w:t>РЕШИЛА: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Признать жалобу Общества с ограниченной ответственностью «Бюджетные поставки» обоснованной в части 2 довода.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Признать Заказчика - ФКУ «Колония-поселение №19 с особыми условиями хозяйственной деятельности Управления Федеральной службы исполнения наказаний по Архангельской области», нарушившим часть 1.1 статьи 33 ФЗ «О контрактной системе», подпункт "а" пункта 7 Постановления № 1875.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540"/>
        <w:ind w:left="0" w:right="0" w:firstLine="740"/>
        <w:jc w:val="both"/>
      </w:pPr>
      <w:r>
        <w:rPr>
          <w:rStyle w:val="CharStyle3"/>
        </w:rPr>
        <w:t>Заказчику, котировочной комиссии, созданной Заказчиком, оператору электронной площадки - АО «Сбербанк-АСТ», выдать предписание об устранении выявленных нарушений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both"/>
      </w:pPr>
      <w:r>
        <w:rPr>
          <w:rStyle w:val="CharStyle3"/>
          <w:b/>
          <w:bCs/>
          <w:i/>
          <w:iCs/>
          <w:u w:val="single"/>
        </w:rPr>
        <w:t>Примечание.</w:t>
      </w:r>
      <w:r>
        <w:rPr>
          <w:rStyle w:val="CharStyle3"/>
          <w:b/>
          <w:bCs/>
          <w:i/>
          <w:iCs/>
        </w:rPr>
        <w:t xml:space="preserve"> </w:t>
      </w:r>
      <w:r>
        <w:rPr>
          <w:rStyle w:val="CharStyle3"/>
          <w:i/>
          <w:iCs/>
        </w:rPr>
        <w:t xml:space="preserve">Согласно части 9 статьи 106 ФЗ «О контрактной системе» решение, принятое по результатам рассмотрения жалобы по суиуеству может быть обжаловано в судебном порядке в течение трех месяцев со дня его принятия. </w:t>
      </w:r>
      <w:r>
        <w:rPr>
          <w:rStyle w:val="CharStyle3"/>
          <w:i/>
          <w:iCs/>
          <w:color w:val="160D6F"/>
        </w:rPr>
        <w:t>/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  <w:b/>
          <w:bCs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5808345</wp:posOffset>
                </wp:positionH>
                <wp:positionV relativeFrom="margin">
                  <wp:posOffset>3211830</wp:posOffset>
                </wp:positionV>
                <wp:extent cx="1161415" cy="17399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57.35000000000002pt;margin-top:252.90000000000001pt;width:91.450000000000003pt;height:13.700000000000001pt;z-index:-125829375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margin">
                  <wp:posOffset>3573145</wp:posOffset>
                </wp:positionV>
                <wp:extent cx="1225550" cy="173990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0.549999999999997pt;margin-top:281.35000000000002pt;width:96.5pt;height:13.700000000000001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rStyle w:val="CharStyle3"/>
          <w:b/>
          <w:bCs/>
        </w:rPr>
        <w:t>Н.В. Вознесенская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margin">
              <wp:posOffset>2440305</wp:posOffset>
            </wp:positionH>
            <wp:positionV relativeFrom="margin">
              <wp:posOffset>2534920</wp:posOffset>
            </wp:positionV>
            <wp:extent cx="3159125" cy="149987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59125" cy="14998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  <w:b/>
          <w:bCs/>
        </w:rPr>
        <w:t>А.А. Елисеенков</w:t>
      </w:r>
    </w:p>
    <w:sectPr>
      <w:headerReference w:type="default" r:id="rId15"/>
      <w:headerReference w:type="even" r:id="rId16"/>
      <w:footnotePr>
        <w:pos w:val="pageBottom"/>
        <w:numFmt w:val="decimal"/>
        <w:numRestart w:val="continuous"/>
      </w:footnotePr>
      <w:type w:val="continuous"/>
      <w:pgSz w:w="11900" w:h="16840"/>
      <w:pgMar w:top="846" w:right="817" w:bottom="1192" w:left="131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278765</wp:posOffset>
              </wp:positionV>
              <wp:extent cx="22161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</w:rPr>
                            <w:t>52/6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0.60000000000002pt;margin-top:21.949999999999999pt;width:17.4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</w:rPr>
                      <w:t>52/6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423545</wp:posOffset>
              </wp:positionV>
              <wp:extent cx="607822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900000000000006pt;margin-top:33.350000000000001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278765</wp:posOffset>
              </wp:positionV>
              <wp:extent cx="22161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</w:rPr>
                            <w:t>52/6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30.60000000000002pt;margin-top:21.949999999999999pt;width:17.4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</w:rPr>
                      <w:t>52/6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900430</wp:posOffset>
              </wp:positionH>
              <wp:positionV relativeFrom="page">
                <wp:posOffset>423545</wp:posOffset>
              </wp:positionV>
              <wp:extent cx="607822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900000000000006pt;margin-top:33.350000000000001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6731000</wp:posOffset>
              </wp:positionH>
              <wp:positionV relativeFrom="page">
                <wp:posOffset>280670</wp:posOffset>
              </wp:positionV>
              <wp:extent cx="224155" cy="10985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</w:rPr>
                            <w:t>©4/6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30.pt;margin-top:22.100000000000001pt;width:17.650000000000002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</w:rPr>
                      <w:t>©4/6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424180</wp:posOffset>
              </wp:positionV>
              <wp:extent cx="607822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99999999999997pt;margin-top:33.399999999999999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6731000</wp:posOffset>
              </wp:positionH>
              <wp:positionV relativeFrom="page">
                <wp:posOffset>280670</wp:posOffset>
              </wp:positionV>
              <wp:extent cx="224155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</w:rPr>
                            <w:t>©4/6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30.pt;margin-top:22.100000000000001pt;width:17.650000000000002pt;height:8.6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</w:rPr>
                      <w:t>©4/6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899160</wp:posOffset>
              </wp:positionH>
              <wp:positionV relativeFrom="page">
                <wp:posOffset>424180</wp:posOffset>
              </wp:positionV>
              <wp:extent cx="6078220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799999999999997pt;margin-top:33.399999999999999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6739890</wp:posOffset>
              </wp:positionH>
              <wp:positionV relativeFrom="page">
                <wp:posOffset>310515</wp:posOffset>
              </wp:positionV>
              <wp:extent cx="228600" cy="10985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860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  <w:lang w:val="en-US" w:eastAsia="en-US"/>
                            </w:rPr>
                            <w:t>®3/6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30.70000000000005pt;margin-top:24.449999999999999pt;width:18.pt;height:8.6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  <w:lang w:val="en-US" w:eastAsia="en-US"/>
                      </w:rPr>
                      <w:t>®3/6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903605</wp:posOffset>
              </wp:positionH>
              <wp:positionV relativeFrom="page">
                <wp:posOffset>448310</wp:posOffset>
              </wp:positionV>
              <wp:extent cx="608520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52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1.150000000000006pt;margin-top:35.300000000000004pt;width:479.15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6732905</wp:posOffset>
              </wp:positionH>
              <wp:positionV relativeFrom="page">
                <wp:posOffset>368300</wp:posOffset>
              </wp:positionV>
              <wp:extent cx="221615" cy="10541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5"/>
                              <w:sz w:val="17"/>
                              <w:szCs w:val="17"/>
                            </w:rPr>
                            <w:t>135/6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30.14999999999998pt;margin-top:29.pt;width:17.449999999999999pt;height:8.3000000000000007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5"/>
                        <w:sz w:val="17"/>
                        <w:szCs w:val="17"/>
                      </w:rPr>
                      <w:t>135/6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892175</wp:posOffset>
              </wp:positionH>
              <wp:positionV relativeFrom="page">
                <wp:posOffset>502920</wp:posOffset>
              </wp:positionV>
              <wp:extent cx="6085205" cy="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852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25pt;margin-top:39.600000000000001pt;width:479.15000000000003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6727190</wp:posOffset>
              </wp:positionH>
              <wp:positionV relativeFrom="page">
                <wp:posOffset>262890</wp:posOffset>
              </wp:positionV>
              <wp:extent cx="224155" cy="109855"/>
              <wp:wrapNone/>
              <wp:docPr id="26" name="Shape 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5"/>
                              <w:sz w:val="20"/>
                              <w:szCs w:val="20"/>
                            </w:rPr>
                            <w:t>|6/б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2" type="#_x0000_t202" style="position:absolute;margin-left:529.70000000000005pt;margin-top:20.699999999999999pt;width:17.650000000000002pt;height:8.65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5"/>
                        <w:sz w:val="20"/>
                        <w:szCs w:val="20"/>
                      </w:rPr>
                      <w:t>|6/б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895985</wp:posOffset>
              </wp:positionH>
              <wp:positionV relativeFrom="page">
                <wp:posOffset>401955</wp:posOffset>
              </wp:positionV>
              <wp:extent cx="6078220" cy="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549999999999997pt;margin-top:31.650000000000002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Body text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1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Body text (2)"/>
    <w:basedOn w:val="Normal"/>
    <w:link w:val="CharStyle7"/>
    <w:pPr>
      <w:widowControl w:val="0"/>
      <w:shd w:val="clear" w:color="auto" w:fill="auto"/>
      <w:spacing w:after="480" w:line="26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line="264" w:lineRule="auto"/>
      <w:ind w:firstLine="37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7.xml"/><Relationship Id="rId16" Type="http://schemas.openxmlformats.org/officeDocument/2006/relationships/header" Target="header8.xml"/></Relationships>
</file>