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Тверской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пл. Святого Благоверного Князя</w:t>
        <w:br/>
        <w:t>Михаила Тверского, д.5, г.Тверь, 170100</w:t>
        <w:br/>
        <w:t>тел. (4822) 32-08-32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"mailto:to69@fas.gov.ru" </w:instrText>
      </w:r>
      <w:r>
        <w:fldChar w:fldCharType="separate"/>
      </w:r>
      <w:r>
        <w:rPr>
          <w:rStyle w:val="CharStyle6"/>
          <w:lang w:val="en-US" w:eastAsia="en-US"/>
        </w:rPr>
        <w:t>to69@fas.gov.ru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2.05.2026</w:t>
        <w:tab/>
      </w:r>
      <w:r>
        <w:fldChar w:fldCharType="end"/>
      </w:r>
      <w:r>
        <w:rPr>
          <w:rStyle w:val="CharStyle11"/>
        </w:rPr>
        <w:t>№ РВ/3106/26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Администрация Бежецкого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муниципального округа Тверской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(э)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fldChar w:fldCharType="begin"/>
      </w:r>
      <w:r>
        <w:rPr/>
        <w:instrText> HYPERLINK "mailto:bezhzakaz@rambler.ru" </w:instrText>
      </w:r>
      <w:r>
        <w:fldChar w:fldCharType="separate"/>
      </w:r>
      <w:r>
        <w:rPr>
          <w:rStyle w:val="CharStyle14"/>
          <w:color w:val="000080"/>
          <w:sz w:val="26"/>
          <w:szCs w:val="26"/>
          <w:u w:val="single"/>
          <w:lang w:val="en-US" w:eastAsia="en-US"/>
        </w:rPr>
        <w:t>bezhzakaz@rambler.ru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ООО «ГЕНЕРАЦИОННОЕ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ОБОРУДОВАНИЕ» (э)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fldChar w:fldCharType="begin"/>
      </w:r>
      <w:r>
        <w:rPr/>
        <w:instrText> HYPERLINK "mailto:tender@gen74.ru" </w:instrText>
      </w:r>
      <w:r>
        <w:fldChar w:fldCharType="separate"/>
      </w:r>
      <w:r>
        <w:rPr>
          <w:rStyle w:val="CharStyle14"/>
          <w:color w:val="000080"/>
          <w:sz w:val="26"/>
          <w:szCs w:val="26"/>
          <w:u w:val="single"/>
          <w:lang w:val="en-US" w:eastAsia="en-US"/>
        </w:rPr>
        <w:t>tender@gen74.ru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Оператор электронной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4"/>
          <w:sz w:val="26"/>
          <w:szCs w:val="26"/>
        </w:rPr>
        <w:t>АО «Сбербанк-АСТ» (э)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786" w:bottom="1217" w:left="1135" w:header="0" w:footer="3" w:gutter="0"/>
          <w:cols w:num="2" w:space="720" w:equalWidth="0">
            <w:col w:w="4166" w:space="1099"/>
            <w:col w:w="4714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4"/>
          <w:sz w:val="26"/>
          <w:szCs w:val="26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9" w:right="0" w:bottom="12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Е Н И Е</w:t>
        <w:br/>
        <w:t>по делу № 069/06/105-411/2026 о рассмотрении жалобы на нарушение</w:t>
        <w:br/>
        <w:t>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4"/>
        </w:rPr>
        <w:t>Резолютивная часть решения оглашена «06» мая 2026 г В полном объеме решение изготовлено «12» мая 2026 г г. Тверь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Валиуллин </w:t>
      </w:r>
      <w:r>
        <w:rPr>
          <w:rStyle w:val="CharStyle14"/>
          <w:lang w:val="en-US" w:eastAsia="en-US"/>
        </w:rPr>
        <w:t xml:space="preserve">P.P. </w:t>
      </w:r>
      <w:r>
        <w:rPr>
          <w:rStyle w:val="CharStyle14"/>
        </w:rPr>
        <w:t>- заместитель руководителя управления-начальник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Винницкая П.Д. – заместитель начальника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Мавлютова Д.В. – специалист-эксперт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при участии посредством видеоконференц-связи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Администрации Бежецкого муниципального округа Тверской области (далее – Заказчик): Кисловой И.В.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ООО «ГЕНЕРАЦИОННОЕ ОБОРУДОВАНИЕ» (далее — Заявитель): Сироткина И.П. (на основании выписки из ЕГРЮЛ),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рассмотрев посредством системы видеоконференц-связи жалобу Заявителя на действия закупочной комиссии при проведении открытого конкурса в электронной форме на проведение работ по строительству, реконструкции, кап. ремонту, сносу объекта кап. строительства в соответствии с п. 8 ч. 1 ст. 33 Закона № 44-ФЗ №0136300050226000032 на строительство блочно-модульной автоматизированной газовой котельной г. Бежецк, ул. Новая,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rStyle w:val="CharStyle14"/>
        </w:rPr>
        <w:t>и проведя в соответствии с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6"/>
        </w:rPr>
        <w:t>1IIIIIIIIIIIIIIIIIIIIIII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14"/>
        </w:rPr>
        <w:t>проверку,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10.04.2026 </w:t>
      </w:r>
      <w:r>
        <w:rPr>
          <w:rStyle w:val="CharStyle14"/>
        </w:rPr>
        <w:t xml:space="preserve">Заказчиком в единой информационной системе в сфере закупок размещено извещение </w:t>
      </w:r>
      <w:r>
        <w:rPr>
          <w:rStyle w:val="CharStyle14"/>
          <w:lang w:val="en-US" w:eastAsia="en-US"/>
        </w:rPr>
        <w:t xml:space="preserve">№ 0136300050226000032 </w:t>
      </w:r>
      <w:r>
        <w:rPr>
          <w:rStyle w:val="CharStyle14"/>
        </w:rPr>
        <w:t xml:space="preserve">о проведении открытого конкурса в электронной форме на проведение работ по строительству, реконструкции, кап. ремонту, сносу объекта кап. строительства в соответствии с п.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</w:t>
      </w:r>
      <w:r>
        <w:rPr>
          <w:rStyle w:val="CharStyle14"/>
          <w:lang w:val="en-US" w:eastAsia="en-US"/>
        </w:rPr>
        <w:t xml:space="preserve">№0136300050226000032 </w:t>
      </w:r>
      <w:r>
        <w:rPr>
          <w:rStyle w:val="CharStyle14"/>
        </w:rPr>
        <w:t xml:space="preserve">на строительство блочно-модульной автоматизированной газовой котельной г. Бежецк, ул. Новая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Закупка, Конкурс).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Тверское УФАС России </w:t>
      </w:r>
      <w:r>
        <w:rPr>
          <w:rStyle w:val="CharStyle14"/>
          <w:lang w:val="en-US" w:eastAsia="en-US"/>
        </w:rPr>
        <w:t xml:space="preserve">29.04.2026 </w:t>
      </w:r>
      <w:r>
        <w:rPr>
          <w:rStyle w:val="CharStyle14"/>
        </w:rPr>
        <w:t>поступила жалоба Заявителя на действия (бездействия) закупочной комиссии при проведении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Согласно доводу жалобы, закупочной комиссией при рассмотрении заявки у Организации-победителя в протоколе учли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 xml:space="preserve">договоров, хотя по условиям оценки максимальное количество договоров </w:t>
      </w:r>
      <w:r>
        <w:rPr>
          <w:rStyle w:val="CharStyle14"/>
          <w:lang w:val="en-US" w:eastAsia="en-US"/>
        </w:rPr>
        <w:t xml:space="preserve">- 15. </w:t>
      </w:r>
      <w:r>
        <w:rPr>
          <w:rStyle w:val="CharStyle14"/>
        </w:rPr>
        <w:t>По мнению Заявителя, произошло некорректная оценка и сравнение заявок.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Представители Заказчика на заседание Комиссии представили возражения.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Комиссия Тверского УФАС России, рассмотрев материалы дела,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соответствии с Извещением, протоколами, составленными в ходе проведения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извещение размещено в ЕИС </w:t>
      </w:r>
      <w:r>
        <w:rPr>
          <w:rStyle w:val="CharStyle14"/>
          <w:lang w:val="en-US" w:eastAsia="en-US"/>
        </w:rPr>
        <w:t>– 10.04.2026;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способ определения поставщика (подрядчика, исполнителя)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открытый конкурс в электронной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НМЦК) </w:t>
      </w:r>
      <w:r>
        <w:rPr>
          <w:rStyle w:val="CharStyle14"/>
          <w:lang w:val="en-US" w:eastAsia="en-US"/>
        </w:rPr>
        <w:t xml:space="preserve">– 91 492 970,61 </w:t>
      </w:r>
      <w:r>
        <w:rPr>
          <w:rStyle w:val="CharStyle14"/>
        </w:rPr>
        <w:t>руб.;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дата подведения итогов определения поставщика </w:t>
      </w:r>
      <w:r>
        <w:rPr>
          <w:rStyle w:val="CharStyle14"/>
          <w:lang w:val="en-US" w:eastAsia="en-US"/>
        </w:rPr>
        <w:t xml:space="preserve">– 29.04.2026, </w:t>
      </w:r>
      <w:r>
        <w:rPr>
          <w:rStyle w:val="CharStyle14"/>
        </w:rPr>
        <w:t xml:space="preserve">подано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заявки, по результатам рассмотрения заявок принято решение о признании трех заявок соответствующими требованиям, определен победитель.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установлено, что извещение об осуществлении закупки, если иное не предусмотрено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Закона о контрактной системе для оценки заявок участников закупки заказчик использует критерий "квалификация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квалификации".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>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Так,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31.12.2021 N 2604 </w:t>
      </w:r>
      <w:r>
        <w:rPr>
          <w:rStyle w:val="CharStyle14"/>
        </w:rPr>
        <w:t xml:space="preserve">"Об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>постановления Правительства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Российской Федерации от </w:t>
      </w:r>
      <w:r>
        <w:rPr>
          <w:rStyle w:val="CharStyle14"/>
          <w:lang w:val="en-US" w:eastAsia="en-US"/>
        </w:rPr>
        <w:t xml:space="preserve">20.12.2021 N 2369 </w:t>
      </w:r>
      <w:r>
        <w:rPr>
          <w:rStyle w:val="CharStyle14"/>
        </w:rPr>
        <w:t xml:space="preserve">и признании утратившими силу некоторых актов и отдельных положений некоторых актов Правительства Российской Федерации" утверждено положение об оценке заявок на участие в закупке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Положение).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Положения "оценка заявок"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действия членов комиссии по осуществлению закупок по присвоению в случаях, предусмотренных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Законом 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Подпунктом «г»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Положения предусмотрено, что для оценки заявок в соответствии с Положением применяется критерий "Квалификация участников закупки".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В соответствии с извещением о проведении открытого конкурса в электронной форме для оценки заявок участников закупки заказчиком был установлен критерий Квалификация участников закупки. Оценка заявок осуществляется по формуле, предусмотренной п.20 Положения, утвержденного Постановлением Правительства РФ от </w:t>
      </w:r>
      <w:r>
        <w:rPr>
          <w:rStyle w:val="CharStyle14"/>
          <w:lang w:val="en-US" w:eastAsia="en-US"/>
        </w:rPr>
        <w:t>31.12.2021 № 2604.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Согласно протоколу при оценке заявки Заявителя учтено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договоров.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Порядком рассмотрения и оценки заявок на участие в конкурсе, размещенным в составе извещения о проведении открытого конкурса в электронной форме, установлено: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i/>
          <w:iCs/>
        </w:rPr>
        <w:t xml:space="preserve">«Оценка заявок осуществляется по формуле, предусмотренной п.20 Положения, утвержденного Постановлением Правительства РФ от </w:t>
      </w:r>
      <w:r>
        <w:rPr>
          <w:rStyle w:val="CharStyle14"/>
          <w:i/>
          <w:iCs/>
          <w:lang w:val="en-US" w:eastAsia="en-US"/>
        </w:rPr>
        <w:t>31.12.2021 N 2604.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i/>
          <w:iCs/>
        </w:rPr>
        <w:t>Количество баллов определяется по формуле: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i/>
          <w:iCs/>
          <w:lang w:val="en-US" w:eastAsia="en-US"/>
        </w:rPr>
        <w:t>БХi = (Хi-Хmin)*100/(Хпред.max-Хmin)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i/>
          <w:iCs/>
          <w:lang w:val="en-US" w:eastAsia="en-US"/>
        </w:rPr>
        <w:t xml:space="preserve">Хi-значение </w:t>
      </w:r>
      <w:r>
        <w:rPr>
          <w:rStyle w:val="CharStyle14"/>
          <w:i/>
          <w:iCs/>
        </w:rPr>
        <w:t>общего количества исполненных участником закупки договоров, содержащееся в предложении участника закупки, заявка которого подлежит оценке по детализирующему показателю «Общее количество исполненных участником закупки договоров»;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i/>
          <w:iCs/>
          <w:lang w:val="en-US" w:eastAsia="en-US"/>
        </w:rPr>
        <w:t xml:space="preserve">Хmin-минимальное </w:t>
      </w:r>
      <w:r>
        <w:rPr>
          <w:rStyle w:val="CharStyle14"/>
          <w:i/>
          <w:iCs/>
        </w:rPr>
        <w:t>значение общего количества исполненных участником закупки договоров, содержащееся в заявках, подлежащих оценке по детализирующему показателю «Общее количество исполненных участником закупки договоров»;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i/>
          <w:iCs/>
        </w:rPr>
        <w:t xml:space="preserve">где </w:t>
      </w:r>
      <w:r>
        <w:rPr>
          <w:rStyle w:val="CharStyle14"/>
          <w:i/>
          <w:iCs/>
          <w:lang w:val="en-US" w:eastAsia="en-US"/>
        </w:rPr>
        <w:t xml:space="preserve">Хпред/max-предельное </w:t>
      </w:r>
      <w:r>
        <w:rPr>
          <w:rStyle w:val="CharStyle14"/>
          <w:i/>
          <w:iCs/>
        </w:rPr>
        <w:t xml:space="preserve">максимальное значение характеристики, установленное заказчиком равно </w:t>
      </w:r>
      <w:r>
        <w:rPr>
          <w:rStyle w:val="CharStyle14"/>
          <w:i/>
          <w:iCs/>
          <w:lang w:val="en-US" w:eastAsia="en-US"/>
        </w:rPr>
        <w:t xml:space="preserve">15 </w:t>
      </w:r>
      <w:r>
        <w:rPr>
          <w:rStyle w:val="CharStyle14"/>
          <w:i/>
          <w:iCs/>
        </w:rPr>
        <w:t>пятнадцать контрактов (договоров)».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Таким образом, согласно критериям оценки следовало оценить максимальное количество договоров в размере не более </w:t>
      </w:r>
      <w:r>
        <w:rPr>
          <w:rStyle w:val="CharStyle14"/>
          <w:lang w:val="en-US" w:eastAsia="en-US"/>
        </w:rPr>
        <w:t xml:space="preserve">15, </w:t>
      </w:r>
      <w:r>
        <w:rPr>
          <w:rStyle w:val="CharStyle14"/>
        </w:rPr>
        <w:t xml:space="preserve">тогда как при оценке заявки Заявителя оценили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договоров, что является нарушением со стороны закупочной комиссии.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Согласно пояснениям Заказчика при оценке заявки Заявителя в связи с технической ошибкой оценка производилась по формуле, согласно п.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 xml:space="preserve">«Б» Положения, где </w:t>
      </w:r>
      <w:r>
        <w:rPr>
          <w:rStyle w:val="CharStyle14"/>
          <w:lang w:val="en-US" w:eastAsia="en-US"/>
        </w:rPr>
        <w:t xml:space="preserve">Хmax - </w:t>
      </w:r>
      <w:r>
        <w:rPr>
          <w:rStyle w:val="CharStyle14"/>
        </w:rPr>
        <w:t>максимальное значение характеристики объекта закупки, содержащееся в заявках (частях заявок), подлежащих в соответствии с Законом о контрактной системе оценке по критерию оценки «характеристики объекта закупки».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Согласно пояснениям заказчика, в связи с указанной технической ошибкой Заказчиком была проведена повторная оценка заявок согласно формуле из п.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 xml:space="preserve">«Е» Положения с учетом применения предельного максимального значения характеристики </w:t>
      </w:r>
      <w:r>
        <w:rPr>
          <w:rStyle w:val="CharStyle14"/>
          <w:lang w:val="en-US" w:eastAsia="en-US"/>
        </w:rPr>
        <w:t xml:space="preserve">- 15 </w:t>
      </w:r>
      <w:r>
        <w:rPr>
          <w:rStyle w:val="CharStyle14"/>
        </w:rPr>
        <w:t xml:space="preserve">договоров. Заявитель по результатам повторной проверки в соответствии с формулой получает </w:t>
      </w:r>
      <w:r>
        <w:rPr>
          <w:rStyle w:val="CharStyle14"/>
          <w:lang w:val="en-US" w:eastAsia="en-US"/>
        </w:rPr>
        <w:t xml:space="preserve">56 </w:t>
      </w:r>
      <w:r>
        <w:rPr>
          <w:rStyle w:val="CharStyle14"/>
        </w:rPr>
        <w:t xml:space="preserve">баллов без учета значимости и </w:t>
      </w:r>
      <w:r>
        <w:rPr>
          <w:rStyle w:val="CharStyle14"/>
          <w:lang w:val="en-US" w:eastAsia="en-US"/>
        </w:rPr>
        <w:t xml:space="preserve">22,4 </w:t>
      </w:r>
      <w:r>
        <w:rPr>
          <w:rStyle w:val="CharStyle14"/>
        </w:rPr>
        <w:t>баллов с учетом значимости. С учетом приведённых балов результат итогового протокола по определению поставщика и подрядчика остается неизменным.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 xml:space="preserve">Таким образом Заказчиком произведена оценка не в соответствии с размещенным порядком оценки, в действиях Заказчика обнаружены признаки нарушения п.п. «б»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Действия закупочной комиссии содержат признаки состава административного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4"/>
        </w:rPr>
        <w:t xml:space="preserve">правонарушения, ответственность за совершение которого предусмотрена частью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7.30.1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руководствуясь ч.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нужд», Комиссия Тверского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.Признать жалобу ООО «ГЕНЕРАЦИОННОЕ ОБОРУДОВАНИЕ»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.Признать в действиях Заказчика нарушение п.п. «б» п.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.Выдать Заказчику, закупочной комиссии, Оператору электронной площадки обязательное для исполнения предписание.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>.Передать материалы дела уполномоченному должностному лицу Тверского УФАС России для рассмотрения вопроса о возбуждении дела об административном правонарушении.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Настоящее решение в течение трех месяцев со дня его изготовления может быть обжаловано в Арбитражный суд Тверской области, находящийся по адресу: </w:t>
      </w:r>
      <w:r>
        <w:rPr>
          <w:rStyle w:val="CharStyle14"/>
          <w:lang w:val="en-US" w:eastAsia="en-US"/>
        </w:rPr>
        <w:t xml:space="preserve">170100 </w:t>
      </w:r>
      <w:r>
        <w:rPr>
          <w:rStyle w:val="CharStyle14"/>
        </w:rPr>
        <w:t xml:space="preserve">г. Тверь, пл. Святого Благоверного Князя Михаила Тверского, д. </w:t>
      </w:r>
      <w:r>
        <w:rPr>
          <w:rStyle w:val="CharStyle14"/>
          <w:lang w:val="en-US" w:eastAsia="en-US"/>
        </w:rPr>
        <w:t>5.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182880" distL="0" distR="0" simplePos="0" relativeHeight="125829378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114300</wp:posOffset>
                </wp:positionV>
                <wp:extent cx="1697990" cy="2349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4"/>
                                <w:sz w:val="26"/>
                                <w:szCs w:val="2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00000000000001pt;margin-top:9.pt;width:133.69999999999999pt;height:18.5pt;z-index:-125829375;mso-wrap-distance-left:0;mso-wrap-distance-top:9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4"/>
                          <w:sz w:val="26"/>
                          <w:szCs w:val="2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0" distL="0" distR="0" simplePos="0" relativeHeight="125829380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273050</wp:posOffset>
                </wp:positionV>
                <wp:extent cx="1722120" cy="25908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95000000000002pt;margin-top:21.5pt;width:135.59999999999999pt;height:20.400000000000002pt;z-index:-125829373;mso-wrap-distance-left:0;mso-wrap-distance-top:21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82880" distL="0" distR="0" simplePos="0" relativeHeight="125829382" behindDoc="0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114300</wp:posOffset>
                </wp:positionV>
                <wp:extent cx="1066800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4"/>
                                <w:sz w:val="26"/>
                                <w:szCs w:val="26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1.69999999999999pt;margin-top:9.pt;width:84.pt;height:18.5pt;z-index:-125829371;mso-wrap-distance-left:0;mso-wrap-distance-top:9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4"/>
                          <w:sz w:val="26"/>
                          <w:szCs w:val="26"/>
                        </w:rPr>
                        <w:t>Р.Р. Валиуллин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1320" distB="0" distL="0" distR="0" simplePos="0" relativeHeight="125829384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401320</wp:posOffset>
                </wp:positionV>
                <wp:extent cx="124650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4"/>
                                <w:sz w:val="26"/>
                                <w:szCs w:val="2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31.600000000000001pt;width:98.150000000000006pt;height:18.5pt;z-index:-125829369;mso-wrap-distance-left:0;mso-wrap-distance-top:31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4"/>
                          <w:sz w:val="26"/>
                          <w:szCs w:val="2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134620" distL="0" distR="0" simplePos="0" relativeHeight="125829386" behindDoc="0" locked="0" layoutInCell="1" allowOverlap="1">
                <wp:simplePos x="0" y="0"/>
                <wp:positionH relativeFrom="page">
                  <wp:posOffset>2663825</wp:posOffset>
                </wp:positionH>
                <wp:positionV relativeFrom="paragraph">
                  <wp:posOffset>203200</wp:posOffset>
                </wp:positionV>
                <wp:extent cx="2206625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66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0"/>
                                <w:color w:val="000000"/>
                              </w:rPr>
                              <w:t>Валиуллин Раиль Рашадович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0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0"/>
                                <w:lang w:val="en-US" w:eastAsia="en-US"/>
                              </w:rPr>
                              <w:t>00F4AFC80E7F5D47A598DA27E8234E62EF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 xml:space="preserve">Действителен с 25.03.2026 </w:t>
                            </w:r>
                            <w:r>
                              <w:rPr>
                                <w:rStyle w:val="CharStyle20"/>
                                <w:color w:val="5E5E5E"/>
                              </w:rPr>
                              <w:t xml:space="preserve">по </w:t>
                            </w:r>
                            <w:r>
                              <w:rPr>
                                <w:rStyle w:val="CharStyle20"/>
                              </w:rPr>
                              <w:t>18.06.2027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09.75pt;margin-top:16.pt;width:173.75pt;height:23.5pt;z-index:-125829367;mso-wrap-distance-left:0;mso-wrap-distance-top:16.pt;mso-wrap-distance-right:0;mso-wrap-distance-bottom:10.6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 xml:space="preserve">Кому выдан: </w:t>
                      </w:r>
                      <w:r>
                        <w:rPr>
                          <w:rStyle w:val="CharStyle20"/>
                          <w:color w:val="000000"/>
                        </w:rPr>
                        <w:t>Валиуллин Раиль Рашадович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 xml:space="preserve">Сертификат </w:t>
                      </w:r>
                      <w:r>
                        <w:rPr>
                          <w:rStyle w:val="CharStyle20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0"/>
                          <w:lang w:val="en-US" w:eastAsia="en-US"/>
                        </w:rPr>
                        <w:t>00F4AFC80E7F5D47A598DA27E8234E62EF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 xml:space="preserve">Действителен с 25.03.2026 </w:t>
                      </w:r>
                      <w:r>
                        <w:rPr>
                          <w:rStyle w:val="CharStyle20"/>
                          <w:color w:val="5E5E5E"/>
                        </w:rPr>
                        <w:t xml:space="preserve">по </w:t>
                      </w:r>
                      <w:r>
                        <w:rPr>
                          <w:rStyle w:val="CharStyle20"/>
                        </w:rPr>
                        <w:t>18.06.2027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9" w:right="535" w:bottom="1219" w:left="109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9550" distB="0" distL="0" distR="0" simplePos="0" relativeHeight="12582938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209550</wp:posOffset>
                </wp:positionV>
                <wp:extent cx="1722120" cy="2590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95000000000002pt;margin-top:16.5pt;width:135.59999999999999pt;height:20.400000000000002pt;z-index:-125829365;mso-wrap-distance-left:0;mso-wrap-distance-top:16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82880" distL="0" distR="0" simplePos="0" relativeHeight="125829390" behindDoc="0" locked="0" layoutInCell="1" allowOverlap="1">
                <wp:simplePos x="0" y="0"/>
                <wp:positionH relativeFrom="page">
                  <wp:posOffset>6022975</wp:posOffset>
                </wp:positionH>
                <wp:positionV relativeFrom="paragraph">
                  <wp:posOffset>50800</wp:posOffset>
                </wp:positionV>
                <wp:extent cx="1161415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4"/>
                                <w:sz w:val="26"/>
                                <w:szCs w:val="26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4.25pt;margin-top:4.pt;width:91.450000000000003pt;height:18.5pt;z-index:-125829363;mso-wrap-distance-left:0;mso-wrap-distance-top:4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4"/>
                          <w:sz w:val="26"/>
                          <w:szCs w:val="26"/>
                        </w:rPr>
                        <w:t>П.Д. Винницкая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0" w:bottom="13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ВИННИЦКАЯ ПОЛИНА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009D9470055B3DAB4EF0FB466573F4E656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5E5E5E"/>
        </w:rPr>
        <w:t xml:space="preserve">29.12.2025 по </w:t>
      </w:r>
      <w:r>
        <w:rPr>
          <w:rStyle w:val="CharStyle20"/>
        </w:rPr>
        <w:t>24.03.2027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546" w:bottom="13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73990" distB="0" distL="0" distR="0" simplePos="0" relativeHeight="125829392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173990</wp:posOffset>
                </wp:positionV>
                <wp:extent cx="1722120" cy="2590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5000000000002pt;margin-top:13.700000000000001pt;width:135.59999999999999pt;height:20.400000000000002pt;z-index:-125829361;mso-wrap-distance-left:0;mso-wrap-distance-top:13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85420" distL="0" distR="0" simplePos="0" relativeHeight="125829394" behindDoc="0" locked="0" layoutInCell="1" allowOverlap="1">
                <wp:simplePos x="0" y="0"/>
                <wp:positionH relativeFrom="page">
                  <wp:posOffset>6007735</wp:posOffset>
                </wp:positionH>
                <wp:positionV relativeFrom="paragraph">
                  <wp:posOffset>12700</wp:posOffset>
                </wp:positionV>
                <wp:extent cx="118237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14"/>
                                <w:sz w:val="26"/>
                                <w:szCs w:val="26"/>
                              </w:rPr>
                              <w:t>Д.В. Мавлютова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3.05000000000001pt;margin-top:1.pt;width:93.100000000000009pt;height:18.5pt;z-index:-125829359;mso-wrap-distance-left:0;mso-wrap-distance-top:1.pt;mso-wrap-distance-right:0;mso-wrap-distance-bottom:14.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14"/>
                          <w:sz w:val="26"/>
                          <w:szCs w:val="26"/>
                        </w:rPr>
                        <w:t>Д.В. Мавлютова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1" w:right="0" w:bottom="13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Мавлютова Дарина Владимировна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795C300FFA0B67EB235D5ACDAFC965EB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500" w:line="240" w:lineRule="auto"/>
        <w:ind w:right="0" w:firstLine="0"/>
        <w:jc w:val="left"/>
      </w:pPr>
      <w:r>
        <w:rPr>
          <w:rStyle w:val="CharStyle20"/>
        </w:rPr>
        <w:t xml:space="preserve">Действителен с 26.02.2026 </w:t>
      </w:r>
      <w:r>
        <w:rPr>
          <w:rStyle w:val="CharStyle20"/>
          <w:color w:val="5E5E5E"/>
        </w:rPr>
        <w:t xml:space="preserve">по </w:t>
      </w:r>
      <w:r>
        <w:rPr>
          <w:rStyle w:val="CharStyle20"/>
        </w:rPr>
        <w:t>22.05.2027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color w:val="000000"/>
        </w:rPr>
        <w:t>Исп.Мавлютова Д.В.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color w:val="000000"/>
        </w:rPr>
        <w:t>тел.(4822)34-24-31,вн.069-116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1" w:right="546" w:bottom="132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9977120</wp:posOffset>
              </wp:positionV>
              <wp:extent cx="658495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2026-3548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785.60000000000002pt;width:51.850000000000001pt;height:9.59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2026-3548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5849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2026-3548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1.850000000000001pt;height:9.59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2026-3548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714375</wp:posOffset>
              </wp:positionV>
              <wp:extent cx="7937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0000000000001pt;margin-top:56.25pt;width:6.25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Body text (3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Heading #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Heading #1"/>
    <w:basedOn w:val="Normal"/>
    <w:link w:val="CharStyle2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