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9"/>
          <w:b/>
          <w:bCs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0"/>
        <w:jc w:val="center"/>
      </w:pPr>
      <w:r>
        <w:rPr>
          <w:rStyle w:val="CharStyle9"/>
          <w:b/>
          <w:bCs/>
        </w:rPr>
        <w:t>Федеральной антимонопольной службы</w:t>
        <w:br/>
        <w:t>по Владимирской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rStyle w:val="CharStyle6"/>
        </w:rPr>
        <w:t>600000, г. Владимир, ул. Большая Московская, 1</w:t>
        <w:br/>
        <w:t>тел. (4922) 53-14-53, факс (4922) 53-14-53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69" w:lineRule="auto"/>
        <w:ind w:left="0" w:right="0" w:firstLine="0"/>
        <w:jc w:val="center"/>
      </w:pP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"mailto:to33@fas.gov.ru" </w:instrText>
      </w:r>
      <w:r>
        <w:fldChar w:fldCharType="separate"/>
      </w:r>
      <w:r>
        <w:rPr>
          <w:rStyle w:val="CharStyle6"/>
          <w:lang w:val="en-US" w:eastAsia="en-US"/>
        </w:rPr>
        <w:t>to33@fas.gov.ru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1954" w:val="left"/>
        </w:tabs>
        <w:bidi w:val="0"/>
        <w:spacing w:before="0" w:after="320" w:line="240" w:lineRule="auto"/>
        <w:ind w:left="0" w:right="0" w:firstLine="140"/>
        <w:jc w:val="both"/>
        <w:rPr>
          <w:sz w:val="30"/>
          <w:szCs w:val="30"/>
        </w:rPr>
      </w:pPr>
      <w:r>
        <w:rPr>
          <w:rStyle w:val="CharStyle11"/>
          <w:sz w:val="30"/>
          <w:szCs w:val="30"/>
          <w:u w:val="single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  <w:sz w:val="30"/>
          <w:szCs w:val="30"/>
          <w:u w:val="single"/>
        </w:rPr>
        <w:t>3.05.2026</w:t>
      </w:r>
      <w:r>
        <w:rPr>
          <w:rStyle w:val="CharStyle11"/>
          <w:sz w:val="30"/>
          <w:szCs w:val="30"/>
        </w:rPr>
        <w:tab/>
      </w:r>
      <w:r>
        <w:fldChar w:fldCharType="end"/>
      </w:r>
      <w:r>
        <w:rPr>
          <w:rStyle w:val="CharStyle11"/>
          <w:sz w:val="30"/>
          <w:szCs w:val="30"/>
        </w:rPr>
        <w:t xml:space="preserve">№ </w:t>
      </w:r>
      <w:r>
        <w:rPr>
          <w:rStyle w:val="CharStyle11"/>
          <w:sz w:val="30"/>
          <w:szCs w:val="30"/>
          <w:u w:val="single"/>
        </w:rPr>
        <w:t>МФ/2210/2</w:t>
      </w:r>
      <w:r>
        <w:rPr>
          <w:rStyle w:val="CharStyle11"/>
          <w:sz w:val="30"/>
          <w:szCs w:val="30"/>
        </w:rPr>
        <w:t>6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both"/>
        <w:rPr>
          <w:sz w:val="18"/>
          <w:szCs w:val="18"/>
        </w:rPr>
      </w:pPr>
      <w:r>
        <w:rPr>
          <w:rStyle w:val="CharStyle9"/>
          <w:sz w:val="18"/>
          <w:szCs w:val="18"/>
        </w:rPr>
        <w:t xml:space="preserve">На №  от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1"/>
        </w:rPr>
        <w:t>ГБУЗ ВО "Александровская районная</w:t>
        <w:br/>
        <w:t>больница"</w:t>
        <w:br/>
      </w:r>
      <w:r>
        <w:fldChar w:fldCharType="begin"/>
      </w:r>
      <w:r>
        <w:rPr/>
        <w:instrText> HYPERLINK "mailto:alex@acrb.elcom.ru" </w:instrText>
      </w:r>
      <w:r>
        <w:fldChar w:fldCharType="separate"/>
      </w:r>
      <w:r>
        <w:rPr>
          <w:rStyle w:val="CharStyle11"/>
          <w:lang w:val="en-US" w:eastAsia="en-US"/>
        </w:rPr>
        <w:t>alex@acrb.elcom.ru</w:t>
      </w:r>
      <w:r>
        <w:fldChar w:fldCharType="end"/>
      </w:r>
      <w:r>
        <w:rPr>
          <w:rStyle w:val="CharStyle11"/>
          <w:lang w:val="en-US" w:eastAsia="en-US"/>
        </w:rPr>
        <w:t xml:space="preserve"> </w:t>
      </w:r>
      <w:r>
        <w:fldChar w:fldCharType="begin"/>
      </w:r>
      <w:r>
        <w:rPr/>
        <w:instrText> HYPERLINK "mailto:zakupki@alrb.ru" </w:instrText>
      </w:r>
      <w:r>
        <w:fldChar w:fldCharType="separate"/>
      </w:r>
      <w:r>
        <w:rPr>
          <w:rStyle w:val="CharStyle11"/>
          <w:lang w:val="en-US" w:eastAsia="en-US"/>
        </w:rPr>
        <w:t>zakupki@alrb.ru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623" w:bottom="1197" w:left="1135" w:header="0" w:footer="3" w:gutter="0"/>
          <w:pgNumType w:start="1"/>
          <w:cols w:num="2" w:space="720" w:equalWidth="0">
            <w:col w:w="4301" w:space="1008"/>
            <w:col w:w="4834"/>
          </w:cols>
          <w:noEndnote/>
          <w:titlePg/>
          <w:rtlGutter w:val="0"/>
          <w:docGrid w:linePitch="360"/>
        </w:sectPr>
      </w:pPr>
      <w:r>
        <w:rPr>
          <w:rStyle w:val="CharStyle11"/>
        </w:rPr>
        <w:t>ООО "Уральская медицинская</w:t>
        <w:br/>
        <w:t>компания"</w:t>
        <w:br/>
      </w:r>
      <w:r>
        <w:fldChar w:fldCharType="begin"/>
      </w:r>
      <w:r>
        <w:rPr/>
        <w:instrText> HYPERLINK "mailto:ymkayral@list.ru" </w:instrText>
      </w:r>
      <w:r>
        <w:fldChar w:fldCharType="separate"/>
      </w:r>
      <w:r>
        <w:rPr>
          <w:rStyle w:val="CharStyle11"/>
          <w:lang w:val="en-US" w:eastAsia="en-US"/>
        </w:rPr>
        <w:t>ymkayral@list.ru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5" w:after="5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0" w:right="0" w:bottom="118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6"/>
          <w:b/>
          <w:bCs/>
        </w:rPr>
        <w:t>Р Е Ш Е Н И Е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6"/>
          <w:b/>
          <w:bCs/>
        </w:rPr>
        <w:t>по делу о нарушении законодательства</w:t>
        <w:br/>
        <w:t>о контрактной системе в сфере закупок</w:t>
        <w:br/>
        <w:t>№ 033/06/105-363/2026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6374765</wp:posOffset>
                </wp:positionH>
                <wp:positionV relativeFrom="paragraph">
                  <wp:posOffset>12700</wp:posOffset>
                </wp:positionV>
                <wp:extent cx="807720" cy="216535"/>
                <wp:wrapSquare wrapText="left"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0772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  <w:i/>
                                <w:iCs/>
                              </w:rPr>
                              <w:t>г. Владимир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501.94999999999999pt;margin-top:1.pt;width:63.600000000000001pt;height:17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  <w:i/>
                          <w:iCs/>
                        </w:rPr>
                        <w:t>г. Владимир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6"/>
          <w:i/>
          <w:iCs/>
        </w:rPr>
        <w:t>07 мая 2026 года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6"/>
          <w:i/>
          <w:iCs/>
        </w:rPr>
        <w:t>Резолютивная часть решения оглашена 07.05.2026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Комиссия Владимирского УФАС России по контролю в сфере закупок (далее – Комиссия) в составе: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0" w:name="bookmark0"/>
      <w:r>
        <w:rPr>
          <w:rStyle w:val="CharStyle24"/>
        </w:rPr>
        <w:t>председателя Комиссии:</w:t>
      </w:r>
      <w:bookmarkEnd w:id="0"/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2" w:name="bookmark2"/>
      <w:r>
        <w:rPr>
          <w:rStyle w:val="CharStyle24"/>
        </w:rPr>
        <w:t>Фомина М.В., заместителя руководителя управления- начальника отдела,</w:t>
      </w:r>
      <w:bookmarkEnd w:id="2"/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4" w:name="bookmark4"/>
      <w:r>
        <w:rPr>
          <w:rStyle w:val="CharStyle24"/>
        </w:rPr>
        <w:t>членов Комиссии:</w:t>
      </w:r>
      <w:bookmarkEnd w:id="4"/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6" w:name="bookmark6"/>
      <w:r>
        <w:rPr>
          <w:rStyle w:val="CharStyle24"/>
        </w:rPr>
        <w:t>Миронова Д.В., заместителя начальника отдела,</w:t>
      </w:r>
      <w:bookmarkEnd w:id="6"/>
    </w:p>
    <w:p>
      <w:pPr>
        <w:pStyle w:val="Style2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8" w:name="bookmark8"/>
      <w:r>
        <w:rPr>
          <w:rStyle w:val="CharStyle24"/>
        </w:rPr>
        <w:t>Платоновой В.В., главного специалиста-эксперта,</w:t>
      </w:r>
      <w:bookmarkEnd w:id="8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на основании части 8 статьи 106 Федерального закона № 44-ФЗ от 05.04.2013 «О контрактной системе в сфере закупок товаров, работ, услуг для обеспечения государственных и муниципальных нужд» (далее - Закон о контрактной системе в сфере закупок) рассмотрела жалобу ООО «Уральская Медицинская Компания» на положения извещения о проведение запроса котировок в электронной форме на поставку расходных материалов для оперблока (шовный материал) для нужд ГБУЗ ВО «АРБ» на 2026 год (№ закупки 0328300068926000158), в открытом заседании, в присутствии представителя заказчика – ГБУЗ ВО «Александровская районная больница» Бобровой О.И. (доверенность от 11.03.2026 №10).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ходе рассмотрения дела о нарушении законодательства в сфере закупок № </w:t>
      </w:r>
      <w:r>
        <w:rPr>
          <w:rStyle w:val="CharStyle16"/>
          <w:lang w:val="en-US" w:eastAsia="en-US"/>
        </w:rPr>
        <w:t>033/06/105</w:t>
        <w:softHyphen/>
      </w:r>
      <w:r>
        <w:rPr>
          <w:rStyle w:val="CharStyle16"/>
        </w:rPr>
      </w:r>
      <w:r>
        <w:rPr>
          <w:rStyle w:val="CharStyle16"/>
          <w:lang w:val="en-US" w:eastAsia="en-US"/>
        </w:rPr>
        <w:t>363/2026</w:t>
      </w:r>
      <w:r>
        <w:rPr>
          <w:rStyle w:val="CharStyle16"/>
        </w:rPr>
        <w:t xml:space="preserve"> Комиссия Владимирского УФАС России,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6"/>
        </w:rPr>
        <w:t>УСТАНОВИЛА: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Во Владимирское УФАС России поступила жалоба ООО «Уральская Медицинская Компания» (далее ООО «УМК», заявитель, Общество) на положения извещения о проведение запроса котировок в электронной форме на поставку расходных материалов для оперблока (шовный материал) для нужд ГБУЗ ВО «АРБ» на 2026 год (№ закупки 0328300068926000158).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600"/>
        <w:jc w:val="both"/>
      </w:pPr>
      <w:r>
        <w:rPr>
          <w:rStyle w:val="CharStyle16"/>
        </w:rPr>
        <w:t>Заявитель оспаривает положения извещения запроса котировок на поставку расходных материалов для оперблока (шовный материал), указывая на неправомерность установления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6"/>
        </w:rPr>
        <w:t xml:space="preserve">IIIIIIIIIIIII null Illi </w:t>
      </w:r>
      <w:r>
        <w:rPr>
          <w:rStyle w:val="CharStyle26"/>
          <w:lang w:val="ru-RU" w:eastAsia="ru-RU"/>
        </w:rPr>
        <w:t>I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 xml:space="preserve">преимуществ в отношении товаров российского происхождения, предусмотренных Постановлением Правительства Российской Федерации от </w:t>
      </w:r>
      <w:r>
        <w:rPr>
          <w:rStyle w:val="CharStyle16"/>
          <w:lang w:val="en-US" w:eastAsia="en-US"/>
        </w:rPr>
        <w:t xml:space="preserve">23.12.2024 №1875 </w:t>
      </w:r>
      <w:r>
        <w:rPr>
          <w:rStyle w:val="CharStyle16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16"/>
          <w:lang w:val="en-US" w:eastAsia="en-US"/>
        </w:rPr>
        <w:t xml:space="preserve">— </w:t>
      </w:r>
      <w:r>
        <w:rPr>
          <w:rStyle w:val="CharStyle16"/>
        </w:rPr>
        <w:t xml:space="preserve">Постановление Правительства от </w:t>
      </w:r>
      <w:r>
        <w:rPr>
          <w:rStyle w:val="CharStyle16"/>
          <w:lang w:val="en-US" w:eastAsia="en-US"/>
        </w:rPr>
        <w:t xml:space="preserve">23.12.2024 №1875) </w:t>
      </w:r>
      <w:r>
        <w:rPr>
          <w:rStyle w:val="CharStyle16"/>
        </w:rPr>
        <w:t xml:space="preserve">при закупке товаров, включенных в приложение </w:t>
      </w:r>
      <w:r>
        <w:rPr>
          <w:rStyle w:val="CharStyle16"/>
          <w:lang w:val="en-US" w:eastAsia="en-US"/>
        </w:rPr>
        <w:t xml:space="preserve">№2 </w:t>
      </w:r>
      <w:r>
        <w:rPr>
          <w:rStyle w:val="CharStyle16"/>
        </w:rPr>
        <w:t xml:space="preserve">к Постановлению </w:t>
      </w:r>
      <w:r>
        <w:rPr>
          <w:rStyle w:val="CharStyle16"/>
          <w:lang w:val="en-US" w:eastAsia="en-US"/>
        </w:rPr>
        <w:t xml:space="preserve">№1875, </w:t>
      </w:r>
      <w:r>
        <w:rPr>
          <w:rStyle w:val="CharStyle16"/>
        </w:rPr>
        <w:t xml:space="preserve">в отношении которых распространяется ограничение закупок для обеспечения государственных и муниципальных нужд, а также объединение в один лот товаров в нарушение положений Постановления </w:t>
      </w:r>
      <w:r>
        <w:rPr>
          <w:rStyle w:val="CharStyle16"/>
          <w:lang w:val="en-US" w:eastAsia="en-US"/>
        </w:rPr>
        <w:t>№1875.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На основании изложенного заявитель просит признать жалобу обоснованной, провести внеплановую проверку, признать в действиях заказчика нарушение требований Закона о контрактной системе в сфере закупок, выдать предписание об устранении допущенных нарушений.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Представитель заказчика не согласились с доводами жалобы, в материалы дела предоставлено возражение относительного существа жалобы.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Изучив представленные документы, исследовав доказательства сторон в рамках внеплановой проверки, проведенной в соответствии с пунктом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частью </w:t>
      </w:r>
      <w:r>
        <w:rPr>
          <w:rStyle w:val="CharStyle16"/>
          <w:lang w:val="en-US" w:eastAsia="en-US"/>
        </w:rPr>
        <w:t xml:space="preserve">15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99 </w:t>
      </w:r>
      <w:r>
        <w:rPr>
          <w:rStyle w:val="CharStyle16"/>
        </w:rPr>
        <w:t>Закона о контрактной системе, Комиссия Владимирского УФАС России пришла к следующим выводам.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  <w:lang w:val="en-US" w:eastAsia="en-US"/>
        </w:rPr>
        <w:t xml:space="preserve">27.04.2026 </w:t>
      </w:r>
      <w:r>
        <w:rPr>
          <w:rStyle w:val="CharStyle16"/>
        </w:rPr>
        <w:t xml:space="preserve">в единой информационной системы в сфере закупок было размещено извещение </w:t>
      </w:r>
      <w:r>
        <w:rPr>
          <w:rStyle w:val="CharStyle16"/>
          <w:lang w:val="en-US" w:eastAsia="en-US"/>
        </w:rPr>
        <w:t xml:space="preserve">№ 0328300068926000158 </w:t>
      </w:r>
      <w:r>
        <w:rPr>
          <w:rStyle w:val="CharStyle16"/>
        </w:rPr>
        <w:t xml:space="preserve">о проведении запроса котировок в электронной форме на поставку расходных материалов для оперблока (шовный материал) для нужд ГБУЗ ВО «АРБ» на </w:t>
      </w:r>
      <w:r>
        <w:rPr>
          <w:rStyle w:val="CharStyle16"/>
          <w:lang w:val="en-US" w:eastAsia="en-US"/>
        </w:rPr>
        <w:t xml:space="preserve">2026 </w:t>
      </w:r>
      <w:r>
        <w:rPr>
          <w:rStyle w:val="CharStyle16"/>
        </w:rPr>
        <w:t>год.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Начальная (максимальная) цена контракта: </w:t>
      </w:r>
      <w:r>
        <w:rPr>
          <w:rStyle w:val="CharStyle16"/>
          <w:lang w:val="en-US" w:eastAsia="en-US"/>
        </w:rPr>
        <w:t xml:space="preserve">1 495 556,10 </w:t>
      </w:r>
      <w:r>
        <w:rPr>
          <w:rStyle w:val="CharStyle16"/>
        </w:rPr>
        <w:t>рублей.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соответствии с частью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14 </w:t>
      </w:r>
      <w:r>
        <w:rPr>
          <w:rStyle w:val="CharStyle16"/>
        </w:rPr>
        <w:t xml:space="preserve">Закона о контрактной системе в сфере закупок,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российское лицо), за исключением случаев принятия Правительством Российской Федерации мер, предусмотренных пунктом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настоящей статьи. Если иное не предусмотрено мерами, принятыми Правительством Российской Федерации в соответствии с пунктом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>настоящей статьи, положения настоящей статьи,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силу пункта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14 </w:t>
      </w:r>
      <w:r>
        <w:rPr>
          <w:rStyle w:val="CharStyle16"/>
        </w:rPr>
        <w:t xml:space="preserve">Закона о контрактной системе в сфере закупок, правительство Российской Федерации вправе с учетом положений части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>настоящей статьи принимать меры, устанавливающие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силу п.1 Постановления Правительства от </w:t>
      </w:r>
      <w:r>
        <w:rPr>
          <w:rStyle w:val="CharStyle16"/>
          <w:lang w:val="en-US" w:eastAsia="en-US"/>
        </w:rPr>
        <w:t xml:space="preserve">23.12.224 № 1875 </w:t>
      </w:r>
      <w:r>
        <w:rPr>
          <w:rStyle w:val="CharStyle16"/>
        </w:rPr>
        <w:t>установить при осуществлении закупок в соответствии с Законом о контрактной системе и закупок в соответствии с Федеральным законом «О закупках товаров, работ, услуг отдельными видами юридических лиц»: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3" w:val="left"/>
        </w:tabs>
        <w:bidi w:val="0"/>
        <w:spacing w:before="0" w:after="0" w:line="240" w:lineRule="auto"/>
        <w:ind w:left="0" w:right="0" w:firstLine="820"/>
        <w:jc w:val="both"/>
      </w:pPr>
      <w:r>
        <w:rPr>
          <w:rStyle w:val="CharStyle16"/>
        </w:rPr>
        <w:t xml:space="preserve"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иностранные лица), по перечню согласно приложению </w:t>
      </w:r>
      <w:r>
        <w:rPr>
          <w:rStyle w:val="CharStyle16"/>
          <w:lang w:val="en-US" w:eastAsia="en-US"/>
        </w:rPr>
        <w:t xml:space="preserve">№ 1, </w:t>
      </w:r>
      <w:r>
        <w:rPr>
          <w:rStyle w:val="CharStyle16"/>
        </w:rPr>
        <w:t>а также закупок в рамках государственного оборонного заказа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16"/>
          <w:lang w:val="en-US" w:eastAsia="en-US"/>
        </w:rPr>
        <w:t>№ 2;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Согласно п.15 ч.1 ст.42 Закона о контрактной системе извещение должно содержать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пунктом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14 </w:t>
      </w:r>
      <w:r>
        <w:rPr>
          <w:rStyle w:val="CharStyle16"/>
        </w:rPr>
        <w:t>настоящего Федерального закона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20"/>
        <w:jc w:val="both"/>
      </w:pPr>
      <w:r>
        <w:rPr>
          <w:rStyle w:val="CharStyle16"/>
        </w:rPr>
        <w:t xml:space="preserve">В соответствии с извещением </w:t>
      </w:r>
      <w:r>
        <w:rPr>
          <w:rStyle w:val="CharStyle16"/>
          <w:lang w:val="en-US" w:eastAsia="en-US"/>
        </w:rPr>
        <w:t xml:space="preserve">№ 0328300068926000158 </w:t>
      </w:r>
      <w:r>
        <w:rPr>
          <w:rStyle w:val="CharStyle16"/>
        </w:rPr>
        <w:t>объектом закупки является следующий товар: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lang w:val="en-US" w:eastAsia="en-US"/>
        </w:rPr>
        <w:t>21.20.24.120-00000018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rStyle w:val="CharStyle16"/>
        </w:rPr>
        <w:t>Нить хирургическая полиамидная, нерассасывающаяся, полинить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lang w:val="en-US" w:eastAsia="en-US"/>
        </w:rPr>
        <w:t>32.50.13.190-00006934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rStyle w:val="CharStyle16"/>
        </w:rPr>
        <w:t>Клипса для лигирования, металлическая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lang w:val="en-US" w:eastAsia="en-US"/>
        </w:rPr>
        <w:t>21.20.24.120-00000018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rStyle w:val="CharStyle16"/>
        </w:rPr>
        <w:t>Нить хирургическая полиамидная, нерассасывающаяся, полинить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lang w:val="en-US" w:eastAsia="en-US"/>
        </w:rPr>
        <w:t>21.20.24.120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rStyle w:val="CharStyle16"/>
        </w:rPr>
        <w:t>Нить хирургическая полиамидная, нерассасывающаяся, полинить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lang w:val="en-US" w:eastAsia="en-US"/>
        </w:rPr>
        <w:t>21.20.24.120-00000036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rStyle w:val="CharStyle16"/>
        </w:rPr>
        <w:t>Нить хирургическая кетгутовая, простая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lang w:val="en-US" w:eastAsia="en-US"/>
        </w:rPr>
        <w:t>21.20.24.120-00000018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rStyle w:val="CharStyle16"/>
        </w:rPr>
        <w:t>Нить хирургическая полиамидная, нерассасывающаяся, полинить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lang w:val="en-US" w:eastAsia="en-US"/>
        </w:rPr>
        <w:t>21.20.24.120-00000018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rStyle w:val="CharStyle16"/>
        </w:rPr>
        <w:t>Нить хирургическая полиамидная, нерассасывающаяся, полинить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lang w:val="en-US" w:eastAsia="en-US"/>
        </w:rPr>
        <w:t>21.20.24.120-00000018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rStyle w:val="CharStyle16"/>
        </w:rPr>
        <w:t>Нить хирургическая полиамидная, нерассасывающаяся, полинить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lang w:val="en-US" w:eastAsia="en-US"/>
        </w:rPr>
        <w:t>21.20.24.120-00000018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rStyle w:val="CharStyle16"/>
        </w:rPr>
        <w:t>Нить хирургическая полиамидная, нерассасывающаяся, полинить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lang w:val="en-US" w:eastAsia="en-US"/>
        </w:rPr>
        <w:t>21.20.24.120-00000018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rStyle w:val="CharStyle16"/>
        </w:rPr>
        <w:t>Нить хирургическая полиамидная, нерассасывающаяся, полинить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lang w:val="en-US" w:eastAsia="en-US"/>
        </w:rPr>
        <w:t>21.20.24.120-00000018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rStyle w:val="CharStyle16"/>
        </w:rPr>
        <w:t>Нить хирургическая полиамидная, нерассасывающаяся, полинить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lang w:val="en-US" w:eastAsia="en-US"/>
        </w:rPr>
        <w:t>21.20.24.120-00000018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w:rPr>
          <w:rStyle w:val="CharStyle16"/>
        </w:rPr>
        <w:t>Нить хирургическая полиамидная, нерассасывающаяся, полинить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  <w:lang w:val="en-US" w:eastAsia="en-US"/>
        </w:rPr>
        <w:t>21.20.24.120-00000020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both"/>
      </w:pPr>
      <w:r>
        <w:rPr>
          <w:rStyle w:val="CharStyle16"/>
        </w:rPr>
        <w:t>Нить хирургическая из полигликолевой кислоты, полинить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  <w:lang w:val="en-US" w:eastAsia="en-US"/>
        </w:rPr>
        <w:t>21.20.24.120-00000020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both"/>
      </w:pPr>
      <w:r>
        <w:rPr>
          <w:rStyle w:val="CharStyle16"/>
        </w:rPr>
        <w:t>Нить хирургическая из полигликолевой кислоты, полинить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  <w:lang w:val="en-US" w:eastAsia="en-US"/>
        </w:rPr>
        <w:t>21.20.24.120-00000020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both"/>
      </w:pPr>
      <w:r>
        <w:rPr>
          <w:rStyle w:val="CharStyle16"/>
        </w:rPr>
        <w:t>Нить хирургическая из полигликолевой кислоты, полинить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  <w:lang w:val="en-US" w:eastAsia="en-US"/>
        </w:rPr>
        <w:t>21.20.24.120-00000020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both"/>
      </w:pPr>
      <w:r>
        <w:rPr>
          <w:rStyle w:val="CharStyle16"/>
        </w:rPr>
        <w:t>Нить хирургическая из полигликолевой кислоты, полинить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  <w:lang w:val="en-US" w:eastAsia="en-US"/>
        </w:rPr>
        <w:t>21.20.24.120-00000020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both"/>
      </w:pPr>
      <w:r>
        <w:rPr>
          <w:rStyle w:val="CharStyle16"/>
        </w:rPr>
        <w:t>Нить хирургическая из полигликолевой кислоты, полинить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  <w:lang w:val="en-US" w:eastAsia="en-US"/>
        </w:rPr>
        <w:t>21.20.24.120-00000020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both"/>
      </w:pPr>
      <w:r>
        <w:rPr>
          <w:rStyle w:val="CharStyle16"/>
        </w:rPr>
        <w:t>Нить хирургическая из полигликолевой кислоты, полинить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  <w:lang w:val="en-US" w:eastAsia="en-US"/>
        </w:rPr>
        <w:t>21.20.24.120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both"/>
      </w:pPr>
      <w:r>
        <w:rPr>
          <w:rStyle w:val="CharStyle16"/>
        </w:rPr>
        <w:t>Нить хирургическая из полигликолевой кислоты, полинить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  <w:lang w:val="en-US" w:eastAsia="en-US"/>
        </w:rPr>
        <w:t>21.20.24.120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both"/>
      </w:pPr>
      <w:r>
        <w:rPr>
          <w:rStyle w:val="CharStyle16"/>
        </w:rPr>
        <w:t>Нить хирургическая из полигликолевой кислоты, полинить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  <w:lang w:val="en-US" w:eastAsia="en-US"/>
        </w:rPr>
        <w:t>21.20.24.120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both"/>
      </w:pPr>
      <w:r>
        <w:rPr>
          <w:rStyle w:val="CharStyle16"/>
        </w:rPr>
        <w:t>Нить хирургическая из полигликолевой кислоты, полинить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  <w:lang w:val="en-US" w:eastAsia="en-US"/>
        </w:rPr>
        <w:t>21.20.24.120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both"/>
      </w:pPr>
      <w:r>
        <w:rPr>
          <w:rStyle w:val="CharStyle16"/>
        </w:rPr>
        <w:t>Нить хирургическая из полигликолевой кислоты, полинить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both"/>
      </w:pPr>
      <w:r>
        <w:rPr>
          <w:rStyle w:val="CharStyle16"/>
          <w:lang w:val="en-US" w:eastAsia="en-US"/>
        </w:rPr>
        <w:t xml:space="preserve">21.20.24.120-00000020 </w:t>
      </w:r>
      <w:r>
        <w:rPr>
          <w:rStyle w:val="CharStyle16"/>
        </w:rPr>
        <w:t>Нить хирургическая из полигликолевой кислоты, полинить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both"/>
      </w:pPr>
      <w:r>
        <w:rPr>
          <w:rStyle w:val="CharStyle16"/>
          <w:lang w:val="en-US" w:eastAsia="en-US"/>
        </w:rPr>
        <w:t xml:space="preserve">21.20.24.120 </w:t>
      </w:r>
      <w:r>
        <w:rPr>
          <w:rStyle w:val="CharStyle16"/>
        </w:rPr>
        <w:t>Нить хирургическая нерассасывающаяся, антимикробная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both"/>
      </w:pPr>
      <w:r>
        <w:rPr>
          <w:rStyle w:val="CharStyle16"/>
          <w:lang w:val="en-US" w:eastAsia="en-US"/>
        </w:rPr>
        <w:t xml:space="preserve">21.20.24.120 </w:t>
      </w:r>
      <w:r>
        <w:rPr>
          <w:rStyle w:val="CharStyle16"/>
        </w:rPr>
        <w:t>Нить полиамидная с фторкаучуковым покрытием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both"/>
      </w:pPr>
      <w:r>
        <w:rPr>
          <w:rStyle w:val="CharStyle16"/>
          <w:lang w:val="en-US" w:eastAsia="en-US"/>
        </w:rPr>
        <w:t xml:space="preserve">21.20.24.120-00000028 </w:t>
      </w:r>
      <w:r>
        <w:rPr>
          <w:rStyle w:val="CharStyle16"/>
        </w:rPr>
        <w:t>Нить хирургическая из полиолефина, мононить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both"/>
      </w:pPr>
      <w:r>
        <w:rPr>
          <w:rStyle w:val="CharStyle16"/>
          <w:lang w:val="en-US" w:eastAsia="en-US"/>
        </w:rPr>
        <w:t xml:space="preserve">21.20.24.120-00000028 </w:t>
      </w:r>
      <w:r>
        <w:rPr>
          <w:rStyle w:val="CharStyle16"/>
        </w:rPr>
        <w:t>Нить хирургическая из полиолефина, мононить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both"/>
      </w:pPr>
      <w:r>
        <w:rPr>
          <w:rStyle w:val="CharStyle16"/>
          <w:lang w:val="en-US" w:eastAsia="en-US"/>
        </w:rPr>
        <w:t xml:space="preserve">21.20.24.120-00000028 </w:t>
      </w:r>
      <w:r>
        <w:rPr>
          <w:rStyle w:val="CharStyle16"/>
        </w:rPr>
        <w:t>Нить хирургическая из полиолефина, мононить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both"/>
      </w:pPr>
      <w:r>
        <w:rPr>
          <w:rStyle w:val="CharStyle16"/>
          <w:lang w:val="en-US" w:eastAsia="en-US"/>
        </w:rPr>
        <w:t xml:space="preserve">21.20.24.120-00000028 </w:t>
      </w:r>
      <w:r>
        <w:rPr>
          <w:rStyle w:val="CharStyle16"/>
        </w:rPr>
        <w:t>Нить хирургическая из полиолефина, мононить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both"/>
      </w:pPr>
      <w:r>
        <w:rPr>
          <w:rStyle w:val="CharStyle16"/>
          <w:lang w:val="en-US" w:eastAsia="en-US"/>
        </w:rPr>
        <w:t xml:space="preserve">21.20.24.120-00000028 </w:t>
      </w:r>
      <w:r>
        <w:rPr>
          <w:rStyle w:val="CharStyle16"/>
        </w:rPr>
        <w:t>Нить хирургическая из полиолефина, мононить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both"/>
      </w:pPr>
      <w:r>
        <w:rPr>
          <w:rStyle w:val="CharStyle16"/>
          <w:u w:val="single"/>
          <w:lang w:val="en-US" w:eastAsia="en-US"/>
        </w:rPr>
        <w:t xml:space="preserve">21.20.24.120-00000011 </w:t>
      </w:r>
      <w:r>
        <w:rPr>
          <w:rStyle w:val="CharStyle16"/>
          <w:u w:val="single"/>
        </w:rPr>
        <w:t>Нить хирургическая из полиэфира, рассасывающаяся, полинить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both"/>
      </w:pPr>
      <w:r>
        <w:rPr>
          <w:rStyle w:val="CharStyle16"/>
          <w:lang w:val="en-US" w:eastAsia="en-US"/>
        </w:rPr>
        <w:t xml:space="preserve">21.20.24.120-00000020 </w:t>
      </w:r>
      <w:r>
        <w:rPr>
          <w:rStyle w:val="CharStyle16"/>
        </w:rPr>
        <w:t>Нить хирургическая из полигликолевой кислоты, полинить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both"/>
      </w:pPr>
      <w:r>
        <w:rPr>
          <w:rStyle w:val="CharStyle16"/>
          <w:lang w:val="en-US" w:eastAsia="en-US"/>
        </w:rPr>
        <w:t xml:space="preserve">21.20.24.120-00000020 </w:t>
      </w:r>
      <w:r>
        <w:rPr>
          <w:rStyle w:val="CharStyle16"/>
        </w:rPr>
        <w:t>Нить хирургическая из полигликолевой кислоты, полинить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both"/>
      </w:pPr>
      <w:r>
        <w:rPr>
          <w:rStyle w:val="CharStyle16"/>
          <w:lang w:val="en-US" w:eastAsia="en-US"/>
        </w:rPr>
        <w:t xml:space="preserve">21.20.24.120-00000028 </w:t>
      </w:r>
      <w:r>
        <w:rPr>
          <w:rStyle w:val="CharStyle16"/>
        </w:rPr>
        <w:t>Нить хирургическая из полиолефина, мононить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both"/>
      </w:pPr>
      <w:r>
        <w:rPr>
          <w:rStyle w:val="CharStyle16"/>
          <w:lang w:val="en-US" w:eastAsia="en-US"/>
        </w:rPr>
        <w:t xml:space="preserve">21.20.24.120-00000028 </w:t>
      </w:r>
      <w:r>
        <w:rPr>
          <w:rStyle w:val="CharStyle16"/>
        </w:rPr>
        <w:t>Нить хирургическая из полиолефина, мононить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Рассматриваемое извещение запроса котировок в электронной форме содержит в себе информацию об установлении преимущества в отношении всех закупаемых товаров.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Согласно описанию объектов закупки, часть закупаемого товара должна иметь в своём составе иглу, а часть нет.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Кроме того, к иглам, входящим в состав товара, предъявляются определенные требования (например, длина иглы, изгиб, вид и количество).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Заказчиком, в составе нитей хирургических, приобретаются иглы колющие атравматические.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Колющая игла относится к хирургическим иглам, которые регулируются ГОСТ </w:t>
      </w:r>
      <w:r>
        <w:rPr>
          <w:rStyle w:val="CharStyle16"/>
          <w:lang w:val="en-US" w:eastAsia="en-US"/>
        </w:rPr>
        <w:t xml:space="preserve">25981-83 </w:t>
      </w:r>
      <w:r>
        <w:rPr>
          <w:rStyle w:val="CharStyle16"/>
        </w:rPr>
        <w:t>«Иглы хирургические. Общие технические условия». Этот стандарт распространяется на иглы, применяемые для сшивания тканей при хирургических операциях, и устанавливает требования к их конструкции, материалам, твёрдости, шероховатости поверхностей и другим параметрам.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Атравматическая игла регулируется ГОСТ </w:t>
      </w:r>
      <w:r>
        <w:rPr>
          <w:rStyle w:val="CharStyle16"/>
          <w:lang w:val="en-US" w:eastAsia="en-US"/>
        </w:rPr>
        <w:t xml:space="preserve">26641-85 </w:t>
      </w:r>
      <w:r>
        <w:rPr>
          <w:rStyle w:val="CharStyle16"/>
        </w:rPr>
        <w:t>«Иглы атравматические. Общие технические требования и методы испытаний». Этот стандарт распространяется на стерильные атравматические иглы однократного применения, предназначенные для сшивания тканей в процессе хирургических операций.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Согласно ГОСТ </w:t>
      </w:r>
      <w:r>
        <w:rPr>
          <w:rStyle w:val="CharStyle16"/>
          <w:lang w:val="en-US" w:eastAsia="en-US"/>
        </w:rPr>
        <w:t xml:space="preserve">25725-89 </w:t>
      </w:r>
      <w:r>
        <w:rPr>
          <w:rStyle w:val="CharStyle16"/>
        </w:rPr>
        <w:t xml:space="preserve">«Инструменты медицинские. Термины и определения», колющий медицинский инструмент </w:t>
      </w:r>
      <w:r>
        <w:rPr>
          <w:rStyle w:val="CharStyle16"/>
          <w:lang w:val="en-US" w:eastAsia="en-US"/>
        </w:rPr>
        <w:t xml:space="preserve">— </w:t>
      </w:r>
      <w:r>
        <w:rPr>
          <w:rStyle w:val="CharStyle16"/>
        </w:rPr>
        <w:t>это инструмент с остриём на конце, предназначенный для введения в ткань организма с диагностической или лечебной целью и для различных манипуляций, не связанных с прониканием в ткань организма.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Следовательно, исходя из описания объекта закупки и положений ГОСТ, хирургические нити, которые имеют в своем составе иглу, относятся к колющим инструментам, поскольку предусматривают наличие в комплекте прокалывающих игл.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соответствии с подпунктом «п» пункта </w:t>
      </w:r>
      <w:r>
        <w:rPr>
          <w:rStyle w:val="CharStyle16"/>
          <w:lang w:val="en-US" w:eastAsia="en-US"/>
        </w:rPr>
        <w:t xml:space="preserve">4 </w:t>
      </w:r>
      <w:r>
        <w:rPr>
          <w:rStyle w:val="CharStyle16"/>
        </w:rPr>
        <w:t xml:space="preserve">Постановления </w:t>
      </w:r>
      <w:r>
        <w:rPr>
          <w:rStyle w:val="CharStyle16"/>
          <w:lang w:val="en-US" w:eastAsia="en-US"/>
        </w:rPr>
        <w:t xml:space="preserve">№ 1875 </w:t>
      </w:r>
      <w:r>
        <w:rPr>
          <w:rStyle w:val="CharStyle16"/>
        </w:rPr>
        <w:t xml:space="preserve">предусмотренное пунктом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настоящего постановления ограничение закупок товаров, указанных в позициях </w:t>
      </w:r>
      <w:r>
        <w:rPr>
          <w:rStyle w:val="CharStyle16"/>
          <w:lang w:val="en-US" w:eastAsia="en-US"/>
        </w:rPr>
        <w:t xml:space="preserve">362 - 432 </w:t>
      </w:r>
      <w:r>
        <w:rPr>
          <w:rStyle w:val="CharStyle16"/>
        </w:rPr>
        <w:t xml:space="preserve">приложения </w:t>
      </w:r>
      <w:r>
        <w:rPr>
          <w:rStyle w:val="CharStyle16"/>
          <w:lang w:val="en-US" w:eastAsia="en-US"/>
        </w:rPr>
        <w:t xml:space="preserve">№ 2 </w:t>
      </w:r>
      <w:r>
        <w:rPr>
          <w:rStyle w:val="CharStyle16"/>
        </w:rPr>
        <w:t>к настоящему постановлению, применяется при осуществлении закупок товаров, являющихся медицинскими изделиями.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Согласно пункту </w:t>
      </w:r>
      <w:r>
        <w:rPr>
          <w:rStyle w:val="CharStyle16"/>
          <w:lang w:val="en-US" w:eastAsia="en-US"/>
        </w:rPr>
        <w:t xml:space="preserve">385 </w:t>
      </w:r>
      <w:r>
        <w:rPr>
          <w:rStyle w:val="CharStyle16"/>
        </w:rPr>
        <w:t xml:space="preserve">перечня Приложения </w:t>
      </w:r>
      <w:r>
        <w:rPr>
          <w:rStyle w:val="CharStyle16"/>
          <w:lang w:val="en-US" w:eastAsia="en-US"/>
        </w:rPr>
        <w:t xml:space="preserve">№ 2 </w:t>
      </w:r>
      <w:r>
        <w:rPr>
          <w:rStyle w:val="CharStyle16"/>
        </w:rPr>
        <w:t xml:space="preserve">к Постановлению </w:t>
      </w:r>
      <w:r>
        <w:rPr>
          <w:rStyle w:val="CharStyle16"/>
          <w:lang w:val="en-US" w:eastAsia="en-US"/>
        </w:rPr>
        <w:t xml:space="preserve">№ 1875 </w:t>
      </w:r>
      <w:r>
        <w:rPr>
          <w:rStyle w:val="CharStyle16"/>
        </w:rPr>
        <w:t xml:space="preserve">установлено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 в отношении товаров с ОКПД2 «Иглы хирургические; инструменты колющие; шприцы», в которую входит код ОКПД2 </w:t>
      </w:r>
      <w:r>
        <w:rPr>
          <w:rStyle w:val="CharStyle16"/>
          <w:lang w:val="en-US" w:eastAsia="en-US"/>
        </w:rPr>
        <w:t xml:space="preserve">21.20.24.120 </w:t>
      </w:r>
      <w:r>
        <w:rPr>
          <w:rStyle w:val="CharStyle16"/>
        </w:rPr>
        <w:t>«Шовные материалы».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Согласно абз.3 п.3.2 информационного письма Министерства финансов Российской Федерации от </w:t>
      </w:r>
      <w:r>
        <w:rPr>
          <w:rStyle w:val="CharStyle16"/>
          <w:lang w:val="en-US" w:eastAsia="en-US"/>
        </w:rPr>
        <w:t xml:space="preserve">31.01.2025 № 24-01-06/8697 </w:t>
      </w:r>
      <w:r>
        <w:rPr>
          <w:rStyle w:val="CharStyle16"/>
        </w:rPr>
        <w:t xml:space="preserve">при применении Постановления </w:t>
      </w:r>
      <w:r>
        <w:rPr>
          <w:rStyle w:val="CharStyle16"/>
          <w:lang w:val="en-US" w:eastAsia="en-US"/>
        </w:rPr>
        <w:t xml:space="preserve">№ 1875 </w:t>
      </w:r>
      <w:r>
        <w:rPr>
          <w:rStyle w:val="CharStyle16"/>
        </w:rPr>
        <w:t xml:space="preserve">не предусматривается обеспечение дословного соответствия наименований, указанных в описании объекта закупки (предмета закупки), наименованиями, указанным в перечнях </w:t>
      </w:r>
      <w:r>
        <w:rPr>
          <w:rStyle w:val="CharStyle16"/>
          <w:lang w:val="en-US" w:eastAsia="en-US"/>
        </w:rPr>
        <w:t>№1-№3.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Аналогичная позиция изложена в решении ФАС России от </w:t>
      </w:r>
      <w:r>
        <w:rPr>
          <w:rStyle w:val="CharStyle16"/>
          <w:lang w:val="en-US" w:eastAsia="en-US"/>
        </w:rPr>
        <w:t xml:space="preserve">17.04.2025 </w:t>
      </w:r>
      <w:r>
        <w:rPr>
          <w:rStyle w:val="CharStyle16"/>
        </w:rPr>
        <w:t xml:space="preserve">по делу </w:t>
      </w:r>
      <w:r>
        <w:rPr>
          <w:rStyle w:val="CharStyle16"/>
          <w:lang w:val="en-US" w:eastAsia="en-US"/>
        </w:rPr>
        <w:t xml:space="preserve">№ </w:t>
      </w:r>
      <w:r>
        <w:rPr>
          <w:rStyle w:val="CharStyle16"/>
        </w:rPr>
        <w:t>25/44/99/П21.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Таким образом, не установление ограничения для нитей с иглами является неправомерным.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соответствии с пп. «г» п. </w:t>
      </w:r>
      <w:r>
        <w:rPr>
          <w:rStyle w:val="CharStyle16"/>
          <w:lang w:val="en-US" w:eastAsia="en-US"/>
        </w:rPr>
        <w:t xml:space="preserve">4 </w:t>
      </w:r>
      <w:r>
        <w:rPr>
          <w:rStyle w:val="CharStyle16"/>
        </w:rPr>
        <w:t xml:space="preserve">Постановления </w:t>
      </w:r>
      <w:r>
        <w:rPr>
          <w:rStyle w:val="CharStyle16"/>
          <w:lang w:val="en-US" w:eastAsia="en-US"/>
        </w:rPr>
        <w:t xml:space="preserve">№1875 </w:t>
      </w:r>
      <w:r>
        <w:rPr>
          <w:rStyle w:val="CharStyle16"/>
        </w:rPr>
        <w:t xml:space="preserve">при осуществлении закупок в соответствии с Законом о контрактной системе, Федеральным законом «О закупках товаров, работ, услуг отдельными видами юридических лиц», за исключением закупок у единственного поставщика (подрядчика, исполнителя) и закупок у единственного поставщика (исполнителя, подрядчика) соответственно, не могут быть включены в предмет одного контракта (одного лота), одного договора (одного лота) товары, указанные в позициях </w:t>
      </w:r>
      <w:r>
        <w:rPr>
          <w:rStyle w:val="CharStyle16"/>
          <w:lang w:val="en-US" w:eastAsia="en-US"/>
        </w:rPr>
        <w:t xml:space="preserve">17, 139 - 141 </w:t>
      </w:r>
      <w:r>
        <w:rPr>
          <w:rStyle w:val="CharStyle16"/>
        </w:rPr>
        <w:t xml:space="preserve">приложения </w:t>
      </w:r>
      <w:r>
        <w:rPr>
          <w:rStyle w:val="CharStyle16"/>
          <w:lang w:val="en-US" w:eastAsia="en-US"/>
        </w:rPr>
        <w:t xml:space="preserve">№ 1 </w:t>
      </w:r>
      <w:r>
        <w:rPr>
          <w:rStyle w:val="CharStyle16"/>
        </w:rPr>
        <w:t xml:space="preserve">к Постановлению </w:t>
      </w:r>
      <w:r>
        <w:rPr>
          <w:rStyle w:val="CharStyle16"/>
          <w:lang w:val="en-US" w:eastAsia="en-US"/>
        </w:rPr>
        <w:t xml:space="preserve">№1875, 179, 189, 320 </w:t>
      </w:r>
      <w:r>
        <w:rPr>
          <w:rStyle w:val="CharStyle16"/>
        </w:rPr>
        <w:t xml:space="preserve">(в части дефибрилляторов), </w:t>
      </w:r>
      <w:r>
        <w:rPr>
          <w:rStyle w:val="CharStyle16"/>
          <w:lang w:val="en-US" w:eastAsia="en-US"/>
        </w:rPr>
        <w:t xml:space="preserve">362 - 432 </w:t>
      </w:r>
      <w:r>
        <w:rPr>
          <w:rStyle w:val="CharStyle16"/>
        </w:rPr>
        <w:t xml:space="preserve">приложения </w:t>
      </w:r>
      <w:r>
        <w:rPr>
          <w:rStyle w:val="CharStyle16"/>
          <w:lang w:val="en-US" w:eastAsia="en-US"/>
        </w:rPr>
        <w:t xml:space="preserve">№ 2 </w:t>
      </w:r>
      <w:r>
        <w:rPr>
          <w:rStyle w:val="CharStyle16"/>
        </w:rPr>
        <w:t xml:space="preserve">к Постановлению </w:t>
      </w:r>
      <w:r>
        <w:rPr>
          <w:rStyle w:val="CharStyle16"/>
          <w:lang w:val="en-US" w:eastAsia="en-US"/>
        </w:rPr>
        <w:t xml:space="preserve">№1875, </w:t>
      </w:r>
      <w:r>
        <w:rPr>
          <w:rStyle w:val="CharStyle16"/>
        </w:rPr>
        <w:t>и товары, не указанные в таких позициях.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Исходя из вышеизложенного, Комиссия Управления приходит к выводу о нарушении Заказчиком ч.1 ст.14, п.1 ч.2 ст.42, п.15 ч.1 ст.42 Закона о контрактной системе в сфере закупок.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На основании изложенного, руководствуясь частями </w:t>
      </w:r>
      <w:r>
        <w:rPr>
          <w:rStyle w:val="CharStyle16"/>
          <w:lang w:val="en-US" w:eastAsia="en-US"/>
        </w:rPr>
        <w:t xml:space="preserve">8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106, </w:t>
      </w:r>
      <w:r>
        <w:rPr>
          <w:rStyle w:val="CharStyle16"/>
        </w:rPr>
        <w:t xml:space="preserve">пунктом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частью </w:t>
      </w:r>
      <w:r>
        <w:rPr>
          <w:rStyle w:val="CharStyle16"/>
          <w:lang w:val="en-US" w:eastAsia="en-US"/>
        </w:rPr>
        <w:t xml:space="preserve">15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99 </w:t>
      </w:r>
      <w:r>
        <w:rPr>
          <w:rStyle w:val="CharStyle16"/>
        </w:rPr>
        <w:t>Закона о контрактной системе в сфере закупок, Комиссия Владимирского УФАС России</w:t>
      </w:r>
      <w:r>
        <w:br w:type="page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6"/>
        </w:rPr>
        <w:t>РЕШИЛА: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86" w:val="left"/>
        </w:tabs>
        <w:bidi w:val="0"/>
        <w:spacing w:before="0" w:after="0" w:line="240" w:lineRule="auto"/>
        <w:ind w:left="0" w:right="0" w:firstLine="920"/>
        <w:jc w:val="both"/>
      </w:pPr>
      <w:r>
        <w:rPr>
          <w:rStyle w:val="CharStyle16"/>
        </w:rPr>
        <w:t xml:space="preserve">Признать жалобу ООО «Уральская Медицинская Компания» на положения извещения о проведение запроса котировок в электронной форме на поставку расходных материалов для оперблока (шовный материал) для нужд ГБУЗ ВО «АРБ» на </w:t>
      </w:r>
      <w:r>
        <w:rPr>
          <w:rStyle w:val="CharStyle16"/>
          <w:lang w:val="en-US" w:eastAsia="en-US"/>
        </w:rPr>
        <w:t xml:space="preserve">2026 </w:t>
      </w:r>
      <w:r>
        <w:rPr>
          <w:rStyle w:val="CharStyle16"/>
        </w:rPr>
        <w:t xml:space="preserve">год </w:t>
      </w:r>
      <w:r>
        <w:rPr>
          <w:rStyle w:val="CharStyle16"/>
          <w:lang w:val="en-US" w:eastAsia="en-US"/>
        </w:rPr>
        <w:t xml:space="preserve">(№ </w:t>
      </w:r>
      <w:r>
        <w:rPr>
          <w:rStyle w:val="CharStyle16"/>
        </w:rPr>
        <w:t xml:space="preserve">закупки </w:t>
      </w:r>
      <w:r>
        <w:rPr>
          <w:rStyle w:val="CharStyle16"/>
          <w:lang w:val="en-US" w:eastAsia="en-US"/>
        </w:rPr>
        <w:t xml:space="preserve">0328300068926000158), </w:t>
      </w:r>
      <w:r>
        <w:rPr>
          <w:rStyle w:val="CharStyle16"/>
        </w:rPr>
        <w:t>по доводам изложенной в ней, обоснованной.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Признать заказчика нарушившим требования ч.1 ст.14, п.1 ч.2 ст.42, п.15 ч.1 ст.42 Закона о контрактной системе в сфере закупок.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Выдать в отношении заказчика, единой комиссии, оператора электронной площадки предписание об устранении нарушений законодательства о контрактной системе в сфере закупок.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4" w:val="left"/>
        </w:tabs>
        <w:bidi w:val="0"/>
        <w:spacing w:before="0" w:after="740" w:line="240" w:lineRule="auto"/>
        <w:ind w:left="0" w:right="0" w:firstLine="720"/>
        <w:jc w:val="both"/>
      </w:pPr>
      <w:r>
        <w:rPr>
          <w:rStyle w:val="CharStyle16"/>
        </w:rPr>
        <w:t>Передать материалы настоящего дела о нарушении законодательства о контрактной системе в сфере закупок уполномоченному должностному лицу Владимирского УФАС России для рассмотрения вопроса о возбуждении административного производства в отношении виновных лиц.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rPr>
          <w:sz w:val="22"/>
          <w:szCs w:val="22"/>
        </w:rPr>
      </w:pPr>
      <w:r>
        <w:rPr>
          <w:rStyle w:val="CharStyle16"/>
          <w:i/>
          <w:iCs/>
          <w:sz w:val="22"/>
          <w:szCs w:val="22"/>
        </w:rPr>
        <w:t>Настоящее решение вступает в законную силу с момента его вынесения и может быть обжаловано в судебном порядке в течение трех месяцев с момента вынесения.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0" w:right="539" w:bottom="1187" w:left="110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44500" distB="344170" distL="0" distR="0" simplePos="0" relativeHeight="125829380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444500</wp:posOffset>
                </wp:positionV>
                <wp:extent cx="1822450" cy="250190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24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8.050000000000004pt;margin-top:35.pt;width:143.5pt;height:19.699999999999999pt;z-index:-125829373;mso-wrap-distance-left:0;mso-wrap-distance-top:35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17525" distB="0" distL="0" distR="1786255" simplePos="0" relativeHeight="125829382" behindDoc="0" locked="0" layoutInCell="1" allowOverlap="1">
            <wp:simplePos x="0" y="0"/>
            <wp:positionH relativeFrom="page">
              <wp:posOffset>2709545</wp:posOffset>
            </wp:positionH>
            <wp:positionV relativeFrom="paragraph">
              <wp:posOffset>517525</wp:posOffset>
            </wp:positionV>
            <wp:extent cx="353695" cy="524510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3169920</wp:posOffset>
                </wp:positionH>
                <wp:positionV relativeFrom="paragraph">
                  <wp:posOffset>922655</wp:posOffset>
                </wp:positionV>
                <wp:extent cx="1283335" cy="100330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9"/>
                                <w:color w:val="E7E7E7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49.59999999999999pt;margin-top:72.650000000000006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9"/>
                          <w:color w:val="E7E7E7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3127375</wp:posOffset>
                </wp:positionH>
                <wp:positionV relativeFrom="paragraph">
                  <wp:posOffset>605790</wp:posOffset>
                </wp:positionV>
                <wp:extent cx="1722120" cy="25908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rStyle w:val="CharStyle19"/>
                                <w:color w:val="000000"/>
                              </w:rPr>
                              <w:t xml:space="preserve">ЭП, </w:t>
                            </w:r>
                            <w:r>
                              <w:rPr>
                                <w:rStyle w:val="CharStyle19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46.25pt;margin-top:47.70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rStyle w:val="CharStyle19"/>
                          <w:color w:val="000000"/>
                        </w:rPr>
                        <w:t xml:space="preserve">ЭП, </w:t>
                      </w:r>
                      <w:r>
                        <w:rPr>
                          <w:rStyle w:val="CharStyle19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444500" distB="344170" distL="0" distR="0" simplePos="0" relativeHeight="125829383" behindDoc="0" locked="0" layoutInCell="1" allowOverlap="1">
                <wp:simplePos x="0" y="0"/>
                <wp:positionH relativeFrom="page">
                  <wp:posOffset>6217285</wp:posOffset>
                </wp:positionH>
                <wp:positionV relativeFrom="paragraph">
                  <wp:posOffset>444500</wp:posOffset>
                </wp:positionV>
                <wp:extent cx="969010" cy="25019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90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М.В. Фомин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89.55000000000001pt;margin-top:35.pt;width:76.299999999999997pt;height:19.699999999999999pt;z-index:-125829370;mso-wrap-distance-left:0;mso-wrap-distance-top:35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М.В. Фомин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Кому выдан: </w:t>
      </w:r>
      <w:r>
        <w:rPr>
          <w:rStyle w:val="CharStyle30"/>
          <w:color w:val="000000"/>
        </w:rPr>
        <w:t>Фомин Максим Валерьевич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Сертификат </w:t>
      </w:r>
      <w:r>
        <w:rPr>
          <w:rStyle w:val="CharStyle30"/>
          <w:color w:val="2A2A2A"/>
        </w:rPr>
        <w:t xml:space="preserve">№ </w:t>
      </w:r>
      <w:r>
        <w:rPr>
          <w:rStyle w:val="CharStyle30"/>
        </w:rPr>
        <w:t>0082571</w:t>
      </w:r>
      <w:r>
        <w:rPr>
          <w:rStyle w:val="CharStyle30"/>
          <w:lang w:val="en-US" w:eastAsia="en-US"/>
        </w:rPr>
        <w:t>FE360703F94BE9662CCFB38D938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>Действителен с 24.09.2025 по 18.12.2026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36" w:bottom="3267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341630" distL="0" distR="0" simplePos="0" relativeHeight="125829385" behindDoc="0" locked="0" layoutInCell="1" allowOverlap="1">
                <wp:simplePos x="0" y="0"/>
                <wp:positionH relativeFrom="page">
                  <wp:posOffset>734060</wp:posOffset>
                </wp:positionH>
                <wp:positionV relativeFrom="paragraph">
                  <wp:posOffset>88900</wp:posOffset>
                </wp:positionV>
                <wp:extent cx="1344295" cy="25273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429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57.800000000000004pt;margin-top:7.pt;width:105.85000000000001pt;height:19.900000000000002pt;z-index:-125829368;mso-wrap-distance-left:0;mso-wrap-distance-top:7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1925" distB="0" distL="0" distR="1786255" simplePos="0" relativeHeight="125829387" behindDoc="0" locked="0" layoutInCell="1" allowOverlap="1">
            <wp:simplePos x="0" y="0"/>
            <wp:positionH relativeFrom="page">
              <wp:posOffset>2708910</wp:posOffset>
            </wp:positionH>
            <wp:positionV relativeFrom="paragraph">
              <wp:posOffset>161925</wp:posOffset>
            </wp:positionV>
            <wp:extent cx="353695" cy="524510"/>
            <wp:wrapTopAndBottom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3169285</wp:posOffset>
                </wp:positionH>
                <wp:positionV relativeFrom="paragraph">
                  <wp:posOffset>567055</wp:posOffset>
                </wp:positionV>
                <wp:extent cx="1283335" cy="10033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9"/>
                                <w:color w:val="E7E7E7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49.55000000000001pt;margin-top:44.64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9"/>
                          <w:color w:val="E7E7E7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3126740</wp:posOffset>
                </wp:positionH>
                <wp:positionV relativeFrom="paragraph">
                  <wp:posOffset>250190</wp:posOffset>
                </wp:positionV>
                <wp:extent cx="1722120" cy="25908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rStyle w:val="CharStyle19"/>
                                <w:color w:val="000000"/>
                              </w:rPr>
                              <w:t xml:space="preserve">ЭП, </w:t>
                            </w:r>
                            <w:r>
                              <w:rPr>
                                <w:rStyle w:val="CharStyle19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46.20000000000002pt;margin-top:19.699999999999999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rStyle w:val="CharStyle19"/>
                          <w:color w:val="000000"/>
                        </w:rPr>
                        <w:t xml:space="preserve">ЭП, </w:t>
                      </w:r>
                      <w:r>
                        <w:rPr>
                          <w:rStyle w:val="CharStyle19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341630" distL="0" distR="0" simplePos="0" relativeHeight="125829388" behindDoc="0" locked="0" layoutInCell="1" allowOverlap="1">
                <wp:simplePos x="0" y="0"/>
                <wp:positionH relativeFrom="page">
                  <wp:posOffset>6083300</wp:posOffset>
                </wp:positionH>
                <wp:positionV relativeFrom="paragraph">
                  <wp:posOffset>88900</wp:posOffset>
                </wp:positionV>
                <wp:extent cx="1103630" cy="252730"/>
                <wp:wrapTopAndBottom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363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Д.В. Миронов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479.pt;margin-top:7.pt;width:86.900000000000006pt;height:19.900000000000002pt;z-index:-125829365;mso-wrap-distance-left:0;mso-wrap-distance-top:7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Д.В. Миронов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Кому выдан: </w:t>
      </w:r>
      <w:r>
        <w:rPr>
          <w:rStyle w:val="CharStyle30"/>
          <w:color w:val="000000"/>
        </w:rPr>
        <w:t>МИРОНОВ ДМИТРИЙ ВАСИЛЬЕВИЧ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Сертификат </w:t>
      </w:r>
      <w:r>
        <w:rPr>
          <w:rStyle w:val="CharStyle30"/>
          <w:color w:val="2A2A2A"/>
        </w:rPr>
        <w:t xml:space="preserve">№ </w:t>
      </w:r>
      <w:r>
        <w:rPr>
          <w:rStyle w:val="CharStyle30"/>
          <w:lang w:val="en-US" w:eastAsia="en-US"/>
        </w:rPr>
        <w:t>00AF2CD2D8CA91780D4FC4E65EDE06044'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rStyle w:val="CharStyle30"/>
        </w:rPr>
        <w:t>Действителен с 24.09.2025 по 18.12.2026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90" behindDoc="0" locked="0" layoutInCell="1" allowOverlap="1">
            <wp:simplePos x="0" y="0"/>
            <wp:positionH relativeFrom="page">
              <wp:posOffset>2708910</wp:posOffset>
            </wp:positionH>
            <wp:positionV relativeFrom="paragraph">
              <wp:posOffset>63500</wp:posOffset>
            </wp:positionV>
            <wp:extent cx="353695" cy="524510"/>
            <wp:wrapSquare wrapText="right"/>
            <wp:docPr id="28" name="Shape 2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box 29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3169285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9"/>
                                <w:color w:val="E7E7E7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49.55000000000001pt;margin-top:36.899999999999999pt;width:101.05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9"/>
                          <w:color w:val="E7E7E7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3126740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rStyle w:val="CharStyle19"/>
                                <w:color w:val="000000"/>
                              </w:rPr>
                              <w:t xml:space="preserve">ЭП, </w:t>
                            </w:r>
                            <w:r>
                              <w:rPr>
                                <w:rStyle w:val="CharStyle19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246.20000000000002pt;margin-top:11.950000000000001pt;width:135.59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rStyle w:val="CharStyle19"/>
                          <w:color w:val="000000"/>
                        </w:rPr>
                        <w:t xml:space="preserve">ЭП, </w:t>
                      </w:r>
                      <w:r>
                        <w:rPr>
                          <w:rStyle w:val="CharStyle19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1"/>
        </w:rPr>
        <w:t>В.В. Платонова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Кому выдан: </w:t>
      </w:r>
      <w:r>
        <w:rPr>
          <w:rStyle w:val="CharStyle30"/>
          <w:color w:val="000000"/>
        </w:rPr>
        <w:t>Платонова Виктория Валерьевна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Сертификат </w:t>
      </w:r>
      <w:r>
        <w:rPr>
          <w:rStyle w:val="CharStyle30"/>
          <w:color w:val="2A2A2A"/>
        </w:rPr>
        <w:t xml:space="preserve">№ </w:t>
      </w:r>
      <w:r>
        <w:rPr>
          <w:rStyle w:val="CharStyle30"/>
          <w:lang w:val="en-US" w:eastAsia="en-US"/>
        </w:rPr>
        <w:t>00D198C4512D33AC8E213E19EFA672973C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1060" w:line="240" w:lineRule="auto"/>
        <w:ind w:right="0" w:firstLine="0"/>
        <w:jc w:val="left"/>
      </w:pPr>
      <w:r>
        <w:rPr>
          <w:rStyle w:val="CharStyle30"/>
        </w:rPr>
        <w:t>Действителен с 17.11.2025 по 10.02.2027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6"/>
          <w:sz w:val="22"/>
          <w:szCs w:val="22"/>
        </w:rPr>
        <w:t>Исп.Платонова В.В.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6"/>
          <w:sz w:val="22"/>
          <w:szCs w:val="22"/>
        </w:rPr>
        <w:t>тел.8-4922-53-39-54, вн.033-124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36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10017125</wp:posOffset>
              </wp:positionV>
              <wp:extent cx="658495" cy="12827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2026-2406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6.950000000000003pt;margin-top:788.75pt;width:51.850000000000001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2026-2406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9851390</wp:posOffset>
              </wp:positionV>
              <wp:extent cx="658495" cy="12827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2026-2406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775.70000000000005pt;width:51.85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2026-2406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character" w:customStyle="1" w:styleId="CharStyle9">
    <w:name w:val="Body text (5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character" w:customStyle="1" w:styleId="CharStyle11">
    <w:name w:val="Body text (3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Body text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9">
    <w:name w:val="Picture caption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  <w:style w:type="character" w:customStyle="1" w:styleId="CharStyle24">
    <w:name w:val="Heading #1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6">
    <w:name w:val="Body text (6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sz w:val="44"/>
      <w:szCs w:val="44"/>
      <w:u w:val="none"/>
      <w:lang w:val="en-US" w:eastAsia="en-US"/>
    </w:rPr>
  </w:style>
  <w:style w:type="character" w:customStyle="1" w:styleId="CharStyle30">
    <w:name w:val="Body text (2)_"/>
    <w:basedOn w:val="DefaultParagraphFont"/>
    <w:link w:val="Style29"/>
    <w:rPr>
      <w:rFonts w:ascii="Arial" w:eastAsia="Arial" w:hAnsi="Arial" w:cs="Arial"/>
      <w:b w:val="0"/>
      <w:bCs w:val="0"/>
      <w:i w:val="0"/>
      <w:iCs w:val="0"/>
      <w:smallCaps w:val="0"/>
      <w:strike w:val="0"/>
      <w:color w:val="454545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after="140" w:line="27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paragraph" w:customStyle="1" w:styleId="Style8">
    <w:name w:val="Body text (5)"/>
    <w:basedOn w:val="Normal"/>
    <w:link w:val="CharStyle9"/>
    <w:pPr>
      <w:widowControl w:val="0"/>
      <w:shd w:val="clear" w:color="auto" w:fill="auto"/>
      <w:spacing w:after="9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paragraph" w:customStyle="1" w:styleId="Style10">
    <w:name w:val="Body text (3)"/>
    <w:basedOn w:val="Normal"/>
    <w:link w:val="CharStyle11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styleId="Style15">
    <w:name w:val="Body text"/>
    <w:basedOn w:val="Normal"/>
    <w:link w:val="CharStyle16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8">
    <w:name w:val="Picture caption"/>
    <w:basedOn w:val="Normal"/>
    <w:link w:val="CharStyle1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A2A2A"/>
      <w:sz w:val="11"/>
      <w:szCs w:val="11"/>
      <w:u w:val="none"/>
    </w:rPr>
  </w:style>
  <w:style w:type="paragraph" w:customStyle="1" w:styleId="Style23">
    <w:name w:val="Heading #1"/>
    <w:basedOn w:val="Normal"/>
    <w:link w:val="CharStyle24"/>
    <w:pPr>
      <w:widowControl w:val="0"/>
      <w:shd w:val="clear" w:color="auto" w:fill="auto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5">
    <w:name w:val="Body text (6)"/>
    <w:basedOn w:val="Normal"/>
    <w:link w:val="CharStyle26"/>
    <w:pPr>
      <w:widowControl w:val="0"/>
      <w:shd w:val="clear" w:color="auto" w:fill="auto"/>
      <w:spacing w:after="2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4"/>
      <w:szCs w:val="44"/>
      <w:u w:val="none"/>
      <w:lang w:val="en-US" w:eastAsia="en-US"/>
    </w:rPr>
  </w:style>
  <w:style w:type="paragraph" w:customStyle="1" w:styleId="Style29">
    <w:name w:val="Body text (2)"/>
    <w:basedOn w:val="Normal"/>
    <w:link w:val="CharStyle30"/>
    <w:pPr>
      <w:widowControl w:val="0"/>
      <w:shd w:val="clear" w:color="auto" w:fill="auto"/>
      <w:ind w:left="31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54545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