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68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1842135</wp:posOffset>
            </wp:positionH>
            <wp:positionV relativeFrom="margin">
              <wp:posOffset>0</wp:posOffset>
            </wp:positionV>
            <wp:extent cx="402590" cy="4387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02590" cy="4387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385" w:right="541" w:bottom="938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64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  <w:br/>
        <w:t>Федеральной антимонопольной службы</w:t>
        <w:br/>
        <w:t>по Нижегородской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>пл. Горького, 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г. Нижний Новгород, 603000</w:t>
        <w:br/>
        <w:t>тел. (831) 431-73-73, (831) 431-73-83</w:t>
        <w:br/>
      </w:r>
      <w:r>
        <w:rPr>
          <w:rStyle w:val="CharStyle6"/>
          <w:u w:val="single"/>
          <w:lang w:val="en-US" w:eastAsia="en-US"/>
        </w:rPr>
        <w:t xml:space="preserve">e-mail: to52@,fas, </w:t>
      </w:r>
      <w:r>
        <w:rPr>
          <w:rStyle w:val="CharStyle6"/>
          <w:u w:val="single"/>
          <w:lang w:val="en-US" w:eastAsia="en-US"/>
        </w:rPr>
        <w:t>gov.ru</w:t>
      </w:r>
    </w:p>
    <w:p>
      <w:pPr>
        <w:pStyle w:val="Style9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2,05.2026</w:t>
      </w:r>
      <w:r>
        <w:rPr>
          <w:rStyle w:val="CharStyle10"/>
          <w:u w:val="none"/>
        </w:rPr>
        <w:tab/>
      </w:r>
      <w:r>
        <w:fldChar w:fldCharType="end"/>
      </w:r>
      <w:r>
        <w:rPr>
          <w:rStyle w:val="CharStyle10"/>
          <w:u w:val="none"/>
        </w:rPr>
        <w:t xml:space="preserve">№ </w:t>
      </w:r>
      <w:r>
        <w:rPr>
          <w:rStyle w:val="CharStyle10"/>
        </w:rPr>
        <w:t>ИБ/9503/26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 xml:space="preserve">На 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3"/>
          <w:sz w:val="28"/>
          <w:szCs w:val="28"/>
        </w:rPr>
        <w:t>Управление делами Правительства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3"/>
          <w:sz w:val="28"/>
          <w:szCs w:val="28"/>
        </w:rPr>
        <w:t>Нижегородской области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3"/>
          <w:sz w:val="28"/>
          <w:szCs w:val="28"/>
        </w:rPr>
        <w:t>603082, г. Н.Новгород, Кремль, корпус 1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fldChar w:fldCharType="begin"/>
      </w:r>
      <w:r>
        <w:rPr/>
        <w:instrText> HYPERLINK "mailto:konkurs@udg.kreml.nnov.ru" </w:instrText>
      </w:r>
      <w:r>
        <w:fldChar w:fldCharType="separate"/>
      </w:r>
      <w:r>
        <w:rPr>
          <w:rStyle w:val="CharStyle13"/>
          <w:sz w:val="28"/>
          <w:szCs w:val="28"/>
          <w:lang w:val="en-US" w:eastAsia="en-US"/>
        </w:rPr>
        <w:t>konkurs@udg.kreml.nnov.ru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3"/>
          <w:sz w:val="28"/>
          <w:szCs w:val="28"/>
        </w:rPr>
        <w:t xml:space="preserve">ООО "Фабрикант", </w:t>
      </w:r>
      <w:r>
        <w:fldChar w:fldCharType="begin"/>
      </w:r>
      <w:r>
        <w:rPr/>
        <w:instrText> HYPERLINK "mailto:info@fabrikant.ru" </w:instrText>
      </w:r>
      <w:r>
        <w:fldChar w:fldCharType="separate"/>
      </w:r>
      <w:r>
        <w:rPr>
          <w:rStyle w:val="CharStyle13"/>
          <w:sz w:val="28"/>
          <w:szCs w:val="28"/>
          <w:lang w:val="en-US" w:eastAsia="en-US"/>
        </w:rPr>
        <w:t>info@fabrikant.ru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fldChar w:fldCharType="begin"/>
      </w:r>
      <w:r>
        <w:rPr/>
        <w:instrText> HYPERLINK "mailto:info@fabrikant.ru" </w:instrText>
      </w:r>
      <w:r>
        <w:fldChar w:fldCharType="separate"/>
      </w:r>
      <w:r>
        <w:rPr>
          <w:rStyle w:val="CharStyle13"/>
          <w:sz w:val="28"/>
          <w:szCs w:val="28"/>
          <w:lang w:val="en-US" w:eastAsia="en-US"/>
        </w:rPr>
        <w:t>info@fabrikant.ru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3"/>
          <w:sz w:val="28"/>
          <w:szCs w:val="28"/>
        </w:rPr>
        <w:t>ООО "РУМТИМ"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5" w:right="637" w:bottom="2643" w:left="1135" w:header="0" w:footer="3" w:gutter="0"/>
          <w:cols w:num="2" w:space="720" w:equalWidth="0">
            <w:col w:w="4186" w:space="1085"/>
            <w:col w:w="4858"/>
          </w:cols>
          <w:noEndnote/>
          <w:rtlGutter w:val="0"/>
          <w:docGrid w:linePitch="360"/>
        </w:sectPr>
      </w:pPr>
      <w:r>
        <w:fldChar w:fldCharType="begin"/>
      </w:r>
      <w:r>
        <w:rPr/>
        <w:instrText> HYPERLINK "mailto:YAKOVENKOVERONIKA@MAIL.RU" </w:instrText>
      </w:r>
      <w:r>
        <w:fldChar w:fldCharType="separate"/>
      </w:r>
      <w:r>
        <w:rPr>
          <w:rStyle w:val="CharStyle13"/>
          <w:sz w:val="28"/>
          <w:szCs w:val="28"/>
          <w:lang w:val="en-US" w:eastAsia="en-US"/>
        </w:rPr>
        <w:t>YAKOVENKOVERONIKA@MAIL.RU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7" w:after="2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09" w:right="0" w:bottom="179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3"/>
          <w:b/>
          <w:bCs/>
        </w:rPr>
        <w:t>РЕШЕНИЕ</w:t>
        <w:br/>
        <w:t>№ 052/06/105-1126/2026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40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708660</wp:posOffset>
                </wp:positionH>
                <wp:positionV relativeFrom="paragraph">
                  <wp:posOffset>12700</wp:posOffset>
                </wp:positionV>
                <wp:extent cx="1197610" cy="231775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761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06 мая 2026 года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5.800000000000004pt;margin-top:1.pt;width:94.299999999999997pt;height:18.2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06 мая 2026 года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3"/>
        </w:rPr>
        <w:t>город Нижний Новгород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00"/>
        <w:jc w:val="both"/>
      </w:pPr>
      <w:r>
        <w:rPr>
          <w:rStyle w:val="CharStyle13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62" w:val="left"/>
        </w:tabs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708660</wp:posOffset>
                </wp:positionH>
                <wp:positionV relativeFrom="paragraph">
                  <wp:posOffset>12700</wp:posOffset>
                </wp:positionV>
                <wp:extent cx="1289050" cy="612775"/>
                <wp:wrapSquare wrapText="righ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9050" cy="612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49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Баранова И.В.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49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Колденкова Д.А.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49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Лебедевой Ю.К.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5.800000000000004pt;margin-top:1.pt;width:101.5pt;height:48.25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49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Баранова И.В.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49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Колденкова Д.А.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49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Лебедевой Ю.К.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3"/>
        </w:rPr>
        <w:t>председателя комиссии, заместителя руководителя Управления,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6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члена комиссии, специалиста-эксперта отдела контроля торгов,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62" w:val="left"/>
        </w:tabs>
        <w:bidi w:val="0"/>
        <w:spacing w:before="0" w:after="260" w:line="240" w:lineRule="auto"/>
        <w:ind w:left="240" w:right="0" w:hanging="240"/>
        <w:jc w:val="both"/>
      </w:pPr>
      <w:r>
        <w:rPr>
          <w:rStyle w:val="CharStyle13"/>
        </w:rPr>
        <w:t>члена комиссии, специалиста-эксперта отдела контроля государственных и муниципальных закупок,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13"/>
        </w:rPr>
        <w:t>при участии посредством видео-конференц-связи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2520" w:right="0" w:hanging="2520"/>
        <w:jc w:val="both"/>
      </w:pPr>
      <w:r>
        <w:rPr>
          <w:rStyle w:val="CharStyle13"/>
        </w:rPr>
        <w:t>- Башкалиной Л.Г. - представителя Управления делами Правительства Нижегородской области по доверенности от 20.03.2026 № 9,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13"/>
        </w:rPr>
        <w:t>рассмотрев посредством видео-конференц-связи жалобу общества с ограниченной ответственностью «РУМТИМ» (далее также – ООО «РУМТИМ», заявитель) о нарушении Управлением делами Правительства Нижегородской области (далее – Заказчик) требований законодательства Российской Федерации о контрактной системе в сфере закупок при определении поставщика путем проведения запроса котировок в электронной форме на право заключения контракта по объекту закупки: «Оказание услуг по повышению квалификации государственных гражданских служащих Нижегородской области по теме «Противодействие коррупции в государственном управлении»», номер извещения 0332200011226000030,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3"/>
          <w:b/>
          <w:bCs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В Управление Федеральной антимонопольной службы по Нижегородской области поступила жалоба заявителя на действия заказчика при определении поставщика путем проведения электронного аукциона на право заключения контракта по объекту закупки: «Оказание услуг по повышению квалификации государственных гражданских служащих Нижегородской области по теме «Противодействие коррупции в государственном управлении»», номер извещения </w:t>
      </w:r>
      <w:r>
        <w:rPr>
          <w:rStyle w:val="CharStyle13"/>
          <w:lang w:val="en-US" w:eastAsia="en-US"/>
        </w:rPr>
        <w:t>0332200011226000030.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По мнению заявителя, действия заказчика не соответствуют требованиям положений Федерального закона от </w:t>
      </w: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также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>Закон о контрактной системе).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Представитель заказчика на заседании Комиссии Нижегородского УФАС России с доводами, изложенными в жалобе заявителя, не согласился, факт нарушений требований Закона о контрактной системе не признал, считает жалобу заявителя необоснованной, а требования, изложенные в ней, не подлежащими удовлетворению.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Комиссия Управления Федеральной антимонопольной службы по Нижегородской области по контролю в сфере закупок, выслушав доводы лиц, участвующих в рассмотрении жалобы,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</w:t>
      </w:r>
      <w:r>
        <w:rPr>
          <w:rStyle w:val="CharStyle13"/>
          <w:lang w:val="en-US" w:eastAsia="en-US"/>
        </w:rPr>
        <w:t xml:space="preserve">15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99 </w:t>
      </w:r>
      <w:r>
        <w:rPr>
          <w:rStyle w:val="CharStyle13"/>
        </w:rPr>
        <w:t>Закона о контрактной системе, пришла к следующим выводам.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  <w:lang w:val="en-US" w:eastAsia="en-US"/>
        </w:rPr>
        <w:t xml:space="preserve">24.04.2026 </w:t>
      </w:r>
      <w:r>
        <w:rPr>
          <w:rStyle w:val="CharStyle13"/>
        </w:rPr>
        <w:t xml:space="preserve">в единой информационной системе и на сайте оператора электронной площадки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«Фабрикант»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размещено извещение по объекту закупки: «Оказание услуг по повышению квалификации государственных гражданских служащих Нижегородской области по теме «Противодействие коррупции в государственном управлении»», номер извещения </w:t>
      </w:r>
      <w:r>
        <w:rPr>
          <w:rStyle w:val="CharStyle13"/>
          <w:lang w:val="en-US" w:eastAsia="en-US"/>
        </w:rPr>
        <w:t>0332200011226000030.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Начальная (максимальная) цена контракта </w:t>
      </w:r>
      <w:r>
        <w:rPr>
          <w:rStyle w:val="CharStyle13"/>
          <w:lang w:val="en-US" w:eastAsia="en-US"/>
        </w:rPr>
        <w:t xml:space="preserve">— 238 116,00 </w:t>
      </w:r>
      <w:r>
        <w:rPr>
          <w:rStyle w:val="CharStyle13"/>
        </w:rPr>
        <w:t>руб.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Заявителем в жалобе указано, что требования к преподавательскому составу не соответствует выбранному способу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Согласно 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>Закона о контрактной системе данный Закон регулирует отношения, направленные на обеспечение государственных и муниципальных нужд в целях повышения эффективности, результативности осуществления закупок товаров работ, услуг, обеспечения гласности и прозрачности осуществления таких закупок предотвращения коррупции и других злоупотреблений в сфере таких закупок.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В силу статьи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>Закона о контрактной системе контрактная система в сфере закупок основывается на принципах открытости, прозрачности информации о контрактной системе в сфере закупок, обеспечения конкуренции, профессионализма заказчиков стимулирования инноваций, единства контрактной системы в сфере закупок ответственности за результативность обеспечения государственных и муниципальных нужд, эффективности осуществления закупок.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 xml:space="preserve">Частью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>Закона о контрактной системе установлено, что контрактная система в сфере закупок направлена на создание равных условий для обеспечения конкуренции между участниками закупок. Любое заинтересованное лицо имеет возможность в соответствии с законодательством Российской Федерации и иными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нормативными правовыми актами о контрактной системе в сфере закупок стать поставщиком (подрядчиком, исполнителем).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В соответствии с частью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>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товаров, выполнения работ, оказания услуг. Запрещается совершение заказчиками любых действий, которые противоречат требованиям названного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Пунктом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Закона о контрактной системе предусмотрено, что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В силу 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 xml:space="preserve">Закона о контрактной системе описание объекта закупки в соответствии с требованиями, указанными в 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>названной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Согласно пункту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 xml:space="preserve">Закона о контрактной системе извещение об осуществлении закупки, если иное не предусмотрено настоящим Федеральным законом должно содержать описание объекта закупки в соответствии со статьей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настоящего Федерального закона.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>Описание объекта закупки размещено в ЕИС в структурированном виде и в формате электронного документа.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Частью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24 </w:t>
      </w:r>
      <w:r>
        <w:rPr>
          <w:rStyle w:val="CharStyle13"/>
        </w:rPr>
        <w:t>Закона о контрактной системе установлено, что заказчик, за исключением случаев осуществления закупки товаров, работ, услуг путем проведения электронного запроса котировок либо закупки у единственного поставщика (подрядчика исполнителя), обязан осуществлять закупки товаров, работ, услуг, включенных в перечень установленный Правительством Российской Федерации, либо в дополнительный перечень установленный высшим исполнительным органом субъекта Российской Федерации при осуществлении закупок товаров, работ, услуг для обеспечения нужд субъекта Российской Федерации путем проведения аукционов.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Согласно пункту части </w:t>
      </w:r>
      <w:r>
        <w:rPr>
          <w:rStyle w:val="CharStyle13"/>
          <w:lang w:val="en-US" w:eastAsia="en-US"/>
        </w:rPr>
        <w:t xml:space="preserve">10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24 </w:t>
      </w:r>
      <w:r>
        <w:rPr>
          <w:rStyle w:val="CharStyle13"/>
        </w:rPr>
        <w:t>Закона о контрактной системе заказчик вправе проводить в соответствии с настоящим Федеральным законом электронный запрос котировок в случае, если при осуществлении закупки начальная (максимальная) цена контракта не превышает десять миллионов рублей. Правительство Российской Федерации вправе принять решение об увеличении начальной (максимальной) цены контракта в целях закупки отдельных наименований медицинских изделий.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В рассматриваемом случае начальная (максимальная) цена контракта составляет </w:t>
      </w:r>
      <w:r>
        <w:rPr>
          <w:rStyle w:val="CharStyle13"/>
          <w:lang w:val="en-US" w:eastAsia="en-US"/>
        </w:rPr>
        <w:t xml:space="preserve">238 116,00 </w:t>
      </w:r>
      <w:r>
        <w:rPr>
          <w:rStyle w:val="CharStyle13"/>
        </w:rPr>
        <w:t>руб.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>Заявителем жалобы не предоставлено доказательств, а также обоснования указывающих на неверный выбор Заказчиком способа проведения закупочной процедуры.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>С учетом изложенного Комиссия Нижегородского УФАС России признает довод жалобы необоснованным.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>Таким образом, жалоба признана 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60"/>
        <w:jc w:val="both"/>
      </w:pPr>
      <w:r>
        <w:rPr>
          <w:rStyle w:val="CharStyle13"/>
        </w:rPr>
        <w:t xml:space="preserve">С учетом изложенного, руководствуясь частью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106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>№44-ФЗ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службы по Нижегородской области по контролю в сфере закупок,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3"/>
          <w:b/>
          <w:bCs/>
        </w:rPr>
        <w:t>решила: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  <w:lang w:val="en-US" w:eastAsia="en-US"/>
        </w:rPr>
        <w:t xml:space="preserve">1. </w:t>
      </w:r>
      <w:r>
        <w:rPr>
          <w:rStyle w:val="CharStyle13"/>
        </w:rPr>
        <w:t xml:space="preserve">Признать жалобу общества с ограниченной ответственностью «РУМТИМ» о нарушении Управлением делами Правительства Нижегородской области требований законодательства Российской Федерации о контрактной системе в сфере закупок при определении поставщика путем проведения запроса котировок в электронной форме на право заключения контракта по объекту закупки: «Оказание услуг по повышению квалификации государственных гражданских служащих Нижегородской области по теме «Противодействие коррупции в государственном управлении»», номер извещения </w:t>
      </w:r>
      <w:r>
        <w:rPr>
          <w:rStyle w:val="CharStyle13"/>
          <w:lang w:val="en-US" w:eastAsia="en-US"/>
        </w:rPr>
        <w:t xml:space="preserve">0332200011226000030, </w:t>
      </w:r>
      <w:r>
        <w:rPr>
          <w:rStyle w:val="CharStyle13"/>
        </w:rPr>
        <w:t>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В соответствии с частью </w:t>
      </w:r>
      <w:r>
        <w:rPr>
          <w:rStyle w:val="CharStyle13"/>
          <w:lang w:val="en-US" w:eastAsia="en-US"/>
        </w:rPr>
        <w:t xml:space="preserve">9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106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>№44-ФЗ «О контрактной системе в сфере закупок товаров, работ, услуг для обеспечения государственных и муниципальных нужд» 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09" w:right="536" w:bottom="1799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56235" distL="0" distR="0" simplePos="0" relativeHeight="125829382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88900</wp:posOffset>
                </wp:positionV>
                <wp:extent cx="1694815" cy="23495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481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950000000000003pt;margin-top:7.pt;width:133.44999999999999pt;height:18.5pt;z-index:-125829371;mso-wrap-distance-left:0;mso-wrap-distance-top:7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58750" distB="0" distL="0" distR="1786255" simplePos="0" relativeHeight="125829384" behindDoc="0" locked="0" layoutInCell="1" allowOverlap="1">
            <wp:simplePos x="0" y="0"/>
            <wp:positionH relativeFrom="page">
              <wp:posOffset>3226435</wp:posOffset>
            </wp:positionH>
            <wp:positionV relativeFrom="paragraph">
              <wp:posOffset>158750</wp:posOffset>
            </wp:positionV>
            <wp:extent cx="359410" cy="52451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3686810</wp:posOffset>
                </wp:positionH>
                <wp:positionV relativeFrom="paragraph">
                  <wp:posOffset>563880</wp:posOffset>
                </wp:positionV>
                <wp:extent cx="1283335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90.30000000000001pt;margin-top:44.39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3646805</wp:posOffset>
                </wp:positionH>
                <wp:positionV relativeFrom="paragraph">
                  <wp:posOffset>247015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87.15000000000003pt;margin-top:19.449999999999999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356235" distL="0" distR="0" simplePos="0" relativeHeight="125829385" behindDoc="0" locked="0" layoutInCell="1" allowOverlap="1">
                <wp:simplePos x="0" y="0"/>
                <wp:positionH relativeFrom="page">
                  <wp:posOffset>6259195</wp:posOffset>
                </wp:positionH>
                <wp:positionV relativeFrom="paragraph">
                  <wp:posOffset>88900</wp:posOffset>
                </wp:positionV>
                <wp:extent cx="953770" cy="23495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377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</w:rPr>
                              <w:t>И.В. Баранов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92.85000000000002pt;margin-top:7.pt;width:75.100000000000009pt;height:18.5pt;z-index:-125829368;mso-wrap-distance-left:0;mso-wrap-distance-top:7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</w:rPr>
                        <w:t>И.В. Баранов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Баранов Илья Валерьевич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0D493BB3DAA620D04EE744081508209F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Действителен с 24.09.2025 </w:t>
      </w:r>
      <w:r>
        <w:rPr>
          <w:rStyle w:val="CharStyle20"/>
          <w:color w:val="595959"/>
        </w:rPr>
        <w:t xml:space="preserve">по </w:t>
      </w:r>
      <w:r>
        <w:rPr>
          <w:rStyle w:val="CharStyle20"/>
        </w:rPr>
        <w:t>18.12.2026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32" w:bottom="1757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03200" distB="359410" distL="0" distR="0" simplePos="0" relativeHeight="125829387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203200</wp:posOffset>
                </wp:positionV>
                <wp:extent cx="1237615" cy="23495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761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7.700000000000003pt;margin-top:16.pt;width:97.450000000000003pt;height:18.5pt;z-index:-125829366;mso-wrap-distance-left:0;mso-wrap-distance-top:16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Члены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76225" distB="0" distL="0" distR="1786255" simplePos="0" relativeHeight="125829389" behindDoc="0" locked="0" layoutInCell="1" allowOverlap="1">
            <wp:simplePos x="0" y="0"/>
            <wp:positionH relativeFrom="page">
              <wp:posOffset>3225800</wp:posOffset>
            </wp:positionH>
            <wp:positionV relativeFrom="paragraph">
              <wp:posOffset>276225</wp:posOffset>
            </wp:positionV>
            <wp:extent cx="359410" cy="524510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3689350</wp:posOffset>
                </wp:positionH>
                <wp:positionV relativeFrom="paragraph">
                  <wp:posOffset>681355</wp:posOffset>
                </wp:positionV>
                <wp:extent cx="1280160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90.5pt;margin-top:53.649999999999999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3646170</wp:posOffset>
                </wp:positionH>
                <wp:positionV relativeFrom="paragraph">
                  <wp:posOffset>364490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7.10000000000002pt;margin-top:28.699999999999999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03200" distB="359410" distL="0" distR="0" simplePos="0" relativeHeight="125829390" behindDoc="0" locked="0" layoutInCell="1" allowOverlap="1">
                <wp:simplePos x="0" y="0"/>
                <wp:positionH relativeFrom="page">
                  <wp:posOffset>6085205</wp:posOffset>
                </wp:positionH>
                <wp:positionV relativeFrom="paragraph">
                  <wp:posOffset>203200</wp:posOffset>
                </wp:positionV>
                <wp:extent cx="1124585" cy="23495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458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3"/>
                              </w:rPr>
                              <w:t>Д.А. Колденков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79.15000000000003pt;margin-top:16.pt;width:88.549999999999997pt;height:18.5pt;z-index:-125829363;mso-wrap-distance-left:0;mso-wrap-distance-top:16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3"/>
                        </w:rPr>
                        <w:t>Д.А. Колденков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Колденков Даниил Александрович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00D84EF2E1E1AF1681EC520B87FD3DE73</w:t>
      </w:r>
      <w:r>
        <w:rPr>
          <w:rStyle w:val="CharStyle20"/>
          <w:lang w:val="en-US" w:eastAsia="en-US"/>
        </w:rPr>
        <w:t>E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right="0" w:firstLine="0"/>
        <w:jc w:val="left"/>
      </w:pPr>
      <w:r>
        <w:rPr>
          <w:rStyle w:val="CharStyle20"/>
        </w:rPr>
        <w:t xml:space="preserve">Действителен с </w:t>
      </w:r>
      <w:r>
        <w:rPr>
          <w:rStyle w:val="CharStyle20"/>
          <w:color w:val="595959"/>
        </w:rPr>
        <w:t>29.08.2025 по 22.1</w:t>
      </w:r>
      <w:r>
        <w:rPr>
          <w:rStyle w:val="CharStyle20"/>
          <w:color w:val="292929"/>
        </w:rPr>
        <w:t>1</w:t>
      </w:r>
      <w:r>
        <w:rPr>
          <w:rStyle w:val="CharStyle20"/>
        </w:rPr>
        <w:t>.2026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10" w:line="240" w:lineRule="auto"/>
        <w:ind w:left="1040" w:right="0" w:firstLine="0"/>
        <w:jc w:val="left"/>
      </w:pPr>
      <w:r>
        <w:drawing>
          <wp:anchor distT="0" distB="0" distL="114300" distR="1900555" simplePos="0" relativeHeight="125829392" behindDoc="0" locked="0" layoutInCell="1" allowOverlap="1">
            <wp:simplePos x="0" y="0"/>
            <wp:positionH relativeFrom="page">
              <wp:posOffset>3226435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3646805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87.15000000000003pt;margin-top:11.950000000000001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3"/>
        </w:rPr>
        <w:t>Ю.К. Лебедева</w: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5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Лебедева Юлия Константиновна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00C93FBB7A4557EA64748F1397E15ED90B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right="0" w:firstLine="0"/>
        <w:jc w:val="left"/>
      </w:pPr>
      <w:r>
        <w:rPr>
          <w:rStyle w:val="CharStyle20"/>
        </w:rPr>
        <w:t xml:space="preserve">Действителен с 04.09.2025 </w:t>
      </w:r>
      <w:r>
        <w:rPr>
          <w:rStyle w:val="CharStyle20"/>
          <w:color w:val="595959"/>
        </w:rPr>
        <w:t xml:space="preserve">по </w:t>
      </w:r>
      <w:r>
        <w:rPr>
          <w:rStyle w:val="CharStyle20"/>
        </w:rPr>
        <w:t>28.1</w:t>
      </w:r>
      <w:r>
        <w:rPr>
          <w:rStyle w:val="CharStyle20"/>
          <w:color w:val="292929"/>
        </w:rPr>
        <w:t>1</w:t>
      </w:r>
      <w:r>
        <w:rPr>
          <w:rStyle w:val="CharStyle20"/>
        </w:rPr>
        <w:t>.2026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7"/>
        </w:rPr>
        <w:t>тел.8(831)431-73-95, вн.052-301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32" w:bottom="166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782955</wp:posOffset>
              </wp:positionH>
              <wp:positionV relativeFrom="page">
                <wp:posOffset>10172700</wp:posOffset>
              </wp:positionV>
              <wp:extent cx="709930" cy="10668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993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2026-11163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1.649999999999999pt;margin-top:801.pt;width:55.899999999999999pt;height:8.4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2026-11163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891540</wp:posOffset>
              </wp:positionH>
              <wp:positionV relativeFrom="page">
                <wp:posOffset>10034270</wp:posOffset>
              </wp:positionV>
              <wp:extent cx="709930" cy="10668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993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2026-11163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70.200000000000003pt;margin-top:790.10000000000002pt;width:55.899999999999999pt;height:8.4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2026-11163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3928745</wp:posOffset>
              </wp:positionH>
              <wp:positionV relativeFrom="page">
                <wp:posOffset>659765</wp:posOffset>
              </wp:positionV>
              <wp:extent cx="33655" cy="10668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65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35000000000002pt;margin-top:51.950000000000003pt;width:2.6499999999999999pt;height:8.4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6">
    <w:name w:val="Picture caption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0">
    <w:name w:val="Body text (2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character" w:customStyle="1" w:styleId="CharStyle25">
    <w:name w:val="Body text (5)_"/>
    <w:basedOn w:val="DefaultParagraphFont"/>
    <w:link w:val="Style2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7">
    <w:name w:val="Body text (4)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5">
    <w:name w:val="Picture caption"/>
    <w:basedOn w:val="Normal"/>
    <w:link w:val="CharStyle1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9">
    <w:name w:val="Body text (2)"/>
    <w:basedOn w:val="Normal"/>
    <w:link w:val="CharStyle20"/>
    <w:pPr>
      <w:widowControl w:val="0"/>
      <w:shd w:val="clear" w:color="auto" w:fill="auto"/>
      <w:ind w:left="40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4">
    <w:name w:val="Body text (5)"/>
    <w:basedOn w:val="Normal"/>
    <w:link w:val="CharStyle25"/>
    <w:pPr>
      <w:widowControl w:val="0"/>
      <w:shd w:val="clear" w:color="auto" w:fill="auto"/>
      <w:spacing w:after="100"/>
      <w:ind w:left="47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6">
    <w:name w:val="Body text (4)"/>
    <w:basedOn w:val="Normal"/>
    <w:link w:val="CharStyle27"/>
    <w:pPr>
      <w:widowControl w:val="0"/>
      <w:shd w:val="clear" w:color="auto" w:fill="auto"/>
      <w:spacing w:after="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