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821" w:h="2695" w:wrap="none" w:hAnchor="page" w:x="1302" w:y="1122"/>
        <w:widowControl w:val="0"/>
        <w:shd w:val="clear" w:color="auto" w:fill="auto"/>
        <w:bidi w:val="0"/>
        <w:spacing w:before="0" w:line="293"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framePr w:w="3821" w:h="2695" w:wrap="none" w:hAnchor="page" w:x="1302" w:y="1122"/>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Томской области</w:t>
      </w:r>
    </w:p>
    <w:p>
      <w:pPr>
        <w:pStyle w:val="Style2"/>
        <w:keepNext w:val="0"/>
        <w:keepLines w:val="0"/>
        <w:framePr w:w="3821" w:h="2695" w:wrap="none" w:hAnchor="page" w:x="1302" w:y="1122"/>
        <w:widowControl w:val="0"/>
        <w:shd w:val="clear" w:color="auto" w:fill="auto"/>
        <w:bidi w:val="0"/>
        <w:spacing w:before="0"/>
        <w:ind w:left="0" w:right="0" w:firstLine="0"/>
        <w:jc w:val="center"/>
      </w:pPr>
      <w:r>
        <w:rPr>
          <w:rStyle w:val="CharStyle3"/>
        </w:rPr>
        <w:t>Адрес места нахождения: г.Томск, пр-кт. Ленина, 111</w:t>
        <w:br/>
        <w:t>Почтовый адрес: 634069, г.Томск, пр-кт. Ленина, 111</w:t>
        <w:br/>
        <w:t>тел. (3822) 51-50-61, факс (3822) 51-29-80</w:t>
        <w:br/>
      </w:r>
      <w:r>
        <w:rPr>
          <w:rStyle w:val="CharStyle3"/>
          <w:lang w:val="en-US" w:eastAsia="en-US"/>
        </w:rPr>
        <w:t xml:space="preserve">e-mail: </w:t>
      </w:r>
      <w:r>
        <w:fldChar w:fldCharType="begin"/>
      </w:r>
      <w:r>
        <w:rPr/>
        <w:instrText> HYPERLINK "mailto:to70@fas.gov.ru" </w:instrText>
      </w:r>
      <w:r>
        <w:fldChar w:fldCharType="separate"/>
      </w:r>
      <w:r>
        <w:rPr>
          <w:rStyle w:val="CharStyle3"/>
          <w:lang w:val="en-US" w:eastAsia="en-US"/>
        </w:rPr>
        <w:t>to70@fas.gov.ru</w:t>
      </w:r>
      <w:r>
        <w:fldChar w:fldCharType="end"/>
      </w:r>
    </w:p>
    <w:p>
      <w:pPr>
        <w:pStyle w:val="Style7"/>
        <w:keepNext w:val="0"/>
        <w:keepLines w:val="0"/>
        <w:framePr w:w="3821" w:h="2695" w:wrap="none" w:hAnchor="page" w:x="1302" w:y="1122"/>
        <w:widowControl w:val="0"/>
        <w:shd w:val="clear" w:color="auto" w:fill="auto"/>
        <w:tabs>
          <w:tab w:pos="1834" w:val="left"/>
        </w:tabs>
        <w:bidi w:val="0"/>
        <w:spacing w:before="0"/>
        <w:ind w:right="0"/>
        <w:jc w:val="left"/>
        <w:rPr>
          <w:sz w:val="8"/>
          <w:szCs w:val="8"/>
        </w:rPr>
      </w:pPr>
      <w:r>
        <w:rPr>
          <w:rStyle w:val="CharStyle8"/>
          <w:b/>
          <w:bCs/>
        </w:rPr>
        <w:t>штамп регистрации</w:t>
        <w:tab/>
      </w:r>
      <w:r>
        <w:rPr>
          <w:rStyle w:val="CharStyle8"/>
          <w:smallCaps/>
          <w:color w:val="4061A9"/>
          <w:sz w:val="8"/>
          <w:szCs w:val="8"/>
        </w:rPr>
        <w:t>аг</w:t>
      </w:r>
    </w:p>
    <w:p>
      <w:pPr>
        <w:pStyle w:val="Style2"/>
        <w:keepNext w:val="0"/>
        <w:keepLines w:val="0"/>
        <w:framePr w:w="4066" w:h="235" w:wrap="none" w:hAnchor="page" w:x="1139" w:y="4134"/>
        <w:widowControl w:val="0"/>
        <w:shd w:val="clear" w:color="auto" w:fill="auto"/>
        <w:bidi w:val="0"/>
        <w:spacing w:before="0" w:after="0" w:line="240" w:lineRule="auto"/>
        <w:ind w:left="0" w:right="0" w:firstLine="0"/>
        <w:jc w:val="left"/>
        <w:rPr>
          <w:sz w:val="15"/>
          <w:szCs w:val="15"/>
        </w:rPr>
      </w:pPr>
      <w:r>
        <w:rPr>
          <w:rStyle w:val="CharStyle3"/>
          <w:sz w:val="15"/>
          <w:szCs w:val="15"/>
        </w:rPr>
        <w:t xml:space="preserve">На№  ОТ</w:t>
      </w:r>
    </w:p>
    <w:p>
      <w:pPr>
        <w:pStyle w:val="Style11"/>
        <w:keepNext w:val="0"/>
        <w:keepLines w:val="0"/>
        <w:framePr w:w="3886" w:h="571" w:wrap="none" w:hAnchor="page" w:x="1211" w:y="4950"/>
        <w:widowControl w:val="0"/>
        <w:shd w:val="clear" w:color="auto" w:fill="auto"/>
        <w:bidi w:val="0"/>
        <w:spacing w:before="0" w:after="0" w:line="240" w:lineRule="auto"/>
        <w:ind w:left="0" w:right="0" w:firstLine="0"/>
        <w:jc w:val="left"/>
      </w:pPr>
      <w:r>
        <w:rPr>
          <w:rStyle w:val="CharStyle12"/>
        </w:rPr>
        <w:t>Решение по делу №070/06/105</w:t>
      </w:r>
    </w:p>
    <w:p>
      <w:pPr>
        <w:pStyle w:val="Style11"/>
        <w:keepNext w:val="0"/>
        <w:keepLines w:val="0"/>
        <w:framePr w:w="3886" w:h="571" w:wrap="none" w:hAnchor="page" w:x="1211" w:y="4950"/>
        <w:widowControl w:val="0"/>
        <w:shd w:val="clear" w:color="auto" w:fill="auto"/>
        <w:bidi w:val="0"/>
        <w:spacing w:before="0" w:after="0" w:line="240" w:lineRule="auto"/>
        <w:ind w:left="0" w:right="0" w:firstLine="0"/>
        <w:jc w:val="left"/>
      </w:pPr>
      <w:r>
        <w:rPr>
          <w:rStyle w:val="CharStyle12"/>
        </w:rPr>
        <w:t>396/2026</w:t>
      </w:r>
    </w:p>
    <w:p>
      <w:pPr>
        <w:pStyle w:val="Style13"/>
        <w:keepNext w:val="0"/>
        <w:keepLines w:val="0"/>
        <w:framePr w:w="4894" w:h="4858" w:wrap="none" w:hAnchor="page" w:x="6405" w:y="903"/>
        <w:widowControl w:val="0"/>
        <w:shd w:val="clear" w:color="auto" w:fill="auto"/>
        <w:bidi w:val="0"/>
        <w:spacing w:before="0" w:after="0" w:line="240" w:lineRule="auto"/>
        <w:ind w:left="0" w:right="0" w:firstLine="0"/>
        <w:jc w:val="left"/>
      </w:pPr>
      <w:r>
        <w:rPr>
          <w:rStyle w:val="CharStyle14"/>
        </w:rPr>
        <w:t>ООО «За Достойную жизнь»</w:t>
      </w:r>
    </w:p>
    <w:p>
      <w:pPr>
        <w:pStyle w:val="Style13"/>
        <w:keepNext w:val="0"/>
        <w:keepLines w:val="0"/>
        <w:framePr w:w="4894" w:h="4858" w:wrap="none" w:hAnchor="page" w:x="6405" w:y="903"/>
        <w:widowControl w:val="0"/>
        <w:shd w:val="clear" w:color="auto" w:fill="auto"/>
        <w:bidi w:val="0"/>
        <w:spacing w:before="0" w:after="0" w:line="240" w:lineRule="auto"/>
        <w:ind w:left="0" w:right="0" w:firstLine="0"/>
        <w:jc w:val="left"/>
      </w:pPr>
      <w:r>
        <w:rPr>
          <w:rStyle w:val="CharStyle14"/>
        </w:rPr>
        <w:t>107023, г.Москва, пер. Барабанный, д. 3, помещ. 6/4</w:t>
      </w:r>
    </w:p>
    <w:p>
      <w:pPr>
        <w:pStyle w:val="Style13"/>
        <w:keepNext w:val="0"/>
        <w:keepLines w:val="0"/>
        <w:framePr w:w="4894" w:h="4858" w:wrap="none" w:hAnchor="page" w:x="6405" w:y="903"/>
        <w:widowControl w:val="0"/>
        <w:shd w:val="clear" w:color="auto" w:fill="auto"/>
        <w:bidi w:val="0"/>
        <w:spacing w:before="0" w:after="320" w:line="240" w:lineRule="auto"/>
        <w:ind w:left="0" w:right="0" w:firstLine="0"/>
        <w:jc w:val="left"/>
      </w:pPr>
      <w:r>
        <w:fldChar w:fldCharType="begin"/>
      </w:r>
      <w:r>
        <w:rPr/>
        <w:instrText> HYPERLINK "mailto:zakaz@ooozdj.ru" </w:instrText>
      </w:r>
      <w:r>
        <w:fldChar w:fldCharType="separate"/>
      </w:r>
      <w:r>
        <w:rPr>
          <w:rStyle w:val="CharStyle14"/>
          <w:lang w:val="en-US" w:eastAsia="en-US"/>
        </w:rPr>
        <w:t>zakaz@ooozdj.ru</w:t>
      </w:r>
      <w:r>
        <w:fldChar w:fldCharType="end"/>
      </w:r>
    </w:p>
    <w:p>
      <w:pPr>
        <w:pStyle w:val="Style13"/>
        <w:keepNext w:val="0"/>
        <w:keepLines w:val="0"/>
        <w:framePr w:w="4894" w:h="4858" w:wrap="none" w:hAnchor="page" w:x="6405" w:y="903"/>
        <w:widowControl w:val="0"/>
        <w:shd w:val="clear" w:color="auto" w:fill="auto"/>
        <w:bidi w:val="0"/>
        <w:spacing w:before="0" w:after="0" w:line="240" w:lineRule="auto"/>
        <w:ind w:left="0" w:right="0" w:firstLine="0"/>
        <w:jc w:val="left"/>
      </w:pPr>
      <w:r>
        <w:rPr>
          <w:rStyle w:val="CharStyle14"/>
        </w:rPr>
        <w:t>ФКУ Томская ВК-2 УФСИН России по</w:t>
      </w:r>
    </w:p>
    <w:p>
      <w:pPr>
        <w:pStyle w:val="Style13"/>
        <w:keepNext w:val="0"/>
        <w:keepLines w:val="0"/>
        <w:framePr w:w="4894" w:h="4858" w:wrap="none" w:hAnchor="page" w:x="6405" w:y="903"/>
        <w:widowControl w:val="0"/>
        <w:shd w:val="clear" w:color="auto" w:fill="auto"/>
        <w:bidi w:val="0"/>
        <w:spacing w:before="0" w:after="0" w:line="240" w:lineRule="auto"/>
        <w:ind w:left="0" w:right="0" w:firstLine="0"/>
        <w:jc w:val="left"/>
      </w:pPr>
      <w:r>
        <w:rPr>
          <w:rStyle w:val="CharStyle14"/>
        </w:rPr>
        <w:t>Томской области</w:t>
      </w:r>
    </w:p>
    <w:p>
      <w:pPr>
        <w:pStyle w:val="Style13"/>
        <w:keepNext w:val="0"/>
        <w:keepLines w:val="0"/>
        <w:framePr w:w="4894" w:h="4858" w:wrap="none" w:hAnchor="page" w:x="6405" w:y="903"/>
        <w:widowControl w:val="0"/>
        <w:shd w:val="clear" w:color="auto" w:fill="auto"/>
        <w:bidi w:val="0"/>
        <w:spacing w:before="0" w:after="320" w:line="240" w:lineRule="auto"/>
        <w:ind w:left="0" w:right="0" w:firstLine="0"/>
        <w:jc w:val="left"/>
      </w:pPr>
      <w:r>
        <w:rPr>
          <w:rStyle w:val="CharStyle14"/>
        </w:rPr>
        <w:t xml:space="preserve">634027, г. Томск, Кольцевой проезд, д.20 </w:t>
      </w:r>
      <w:r>
        <w:fldChar w:fldCharType="begin"/>
      </w:r>
      <w:r>
        <w:rPr/>
        <w:instrText> HYPERLINK "mailto:tvk-2@70.fsin.gov.ru" </w:instrText>
      </w:r>
      <w:r>
        <w:fldChar w:fldCharType="separate"/>
      </w:r>
      <w:r>
        <w:rPr>
          <w:rStyle w:val="CharStyle14"/>
          <w:lang w:val="en-US" w:eastAsia="en-US"/>
        </w:rPr>
        <w:t>tvk-2@70.fsin.gov.ru</w:t>
      </w:r>
      <w:r>
        <w:fldChar w:fldCharType="end"/>
      </w:r>
    </w:p>
    <w:p>
      <w:pPr>
        <w:pStyle w:val="Style13"/>
        <w:keepNext w:val="0"/>
        <w:keepLines w:val="0"/>
        <w:framePr w:w="4894" w:h="4858" w:wrap="none" w:hAnchor="page" w:x="6405" w:y="903"/>
        <w:widowControl w:val="0"/>
        <w:shd w:val="clear" w:color="auto" w:fill="auto"/>
        <w:bidi w:val="0"/>
        <w:spacing w:before="0" w:after="0" w:line="240" w:lineRule="auto"/>
        <w:ind w:left="0" w:right="0" w:firstLine="0"/>
        <w:jc w:val="left"/>
      </w:pPr>
      <w:r>
        <w:rPr>
          <w:rStyle w:val="CharStyle14"/>
        </w:rPr>
        <w:t>АО «Сбербанк-АСТ»</w:t>
      </w:r>
    </w:p>
    <w:p>
      <w:pPr>
        <w:pStyle w:val="Style13"/>
        <w:keepNext w:val="0"/>
        <w:keepLines w:val="0"/>
        <w:framePr w:w="4894" w:h="4858" w:wrap="none" w:hAnchor="page" w:x="6405" w:y="903"/>
        <w:widowControl w:val="0"/>
        <w:shd w:val="clear" w:color="auto" w:fill="auto"/>
        <w:bidi w:val="0"/>
        <w:spacing w:before="0" w:after="0" w:line="240" w:lineRule="auto"/>
        <w:ind w:left="0" w:right="0" w:firstLine="0"/>
        <w:jc w:val="left"/>
      </w:pPr>
      <w:r>
        <w:rPr>
          <w:rStyle w:val="CharStyle14"/>
        </w:rPr>
        <w:t>119435, город Москва, Большой</w:t>
      </w:r>
    </w:p>
    <w:p>
      <w:pPr>
        <w:pStyle w:val="Style13"/>
        <w:keepNext w:val="0"/>
        <w:keepLines w:val="0"/>
        <w:framePr w:w="4894" w:h="4858" w:wrap="none" w:hAnchor="page" w:x="6405" w:y="903"/>
        <w:widowControl w:val="0"/>
        <w:shd w:val="clear" w:color="auto" w:fill="auto"/>
        <w:bidi w:val="0"/>
        <w:spacing w:before="0" w:after="0" w:line="240" w:lineRule="auto"/>
        <w:ind w:left="0" w:right="0" w:firstLine="0"/>
        <w:jc w:val="left"/>
      </w:pPr>
      <w:r>
        <w:rPr>
          <w:rStyle w:val="CharStyle14"/>
        </w:rPr>
        <w:t>Саввинский переулок, дом 12, строение</w:t>
      </w:r>
    </w:p>
    <w:p>
      <w:pPr>
        <w:pStyle w:val="Style13"/>
        <w:keepNext w:val="0"/>
        <w:keepLines w:val="0"/>
        <w:framePr w:w="4894" w:h="4858" w:wrap="none" w:hAnchor="page" w:x="6405" w:y="903"/>
        <w:widowControl w:val="0"/>
        <w:shd w:val="clear" w:color="auto" w:fill="auto"/>
        <w:bidi w:val="0"/>
        <w:spacing w:before="0" w:after="0" w:line="240" w:lineRule="auto"/>
        <w:ind w:left="0" w:right="0" w:firstLine="0"/>
        <w:jc w:val="left"/>
      </w:pPr>
      <w:r>
        <w:rPr>
          <w:rStyle w:val="CharStyle14"/>
        </w:rPr>
        <w:t>9</w:t>
      </w:r>
    </w:p>
    <w:p>
      <w:pPr>
        <w:pStyle w:val="Style13"/>
        <w:keepNext w:val="0"/>
        <w:keepLines w:val="0"/>
        <w:framePr w:w="4894" w:h="4858" w:wrap="none" w:hAnchor="page" w:x="6405" w:y="903"/>
        <w:widowControl w:val="0"/>
        <w:shd w:val="clear" w:color="auto" w:fill="auto"/>
        <w:bidi w:val="0"/>
        <w:spacing w:before="0" w:after="160" w:line="240" w:lineRule="auto"/>
        <w:ind w:left="0" w:right="0" w:firstLine="0"/>
        <w:jc w:val="left"/>
      </w:pPr>
      <w:r>
        <w:fldChar w:fldCharType="begin"/>
      </w:r>
      <w:r>
        <w:rPr/>
        <w:instrText> HYPERLINK "mailto:ko@sberbank-ast.ru" </w:instrText>
      </w:r>
      <w:r>
        <w:fldChar w:fldCharType="separate"/>
      </w:r>
      <w:r>
        <w:rPr>
          <w:rStyle w:val="CharStyle14"/>
          <w:lang w:val="en-US" w:eastAsia="en-US"/>
        </w:rPr>
        <w:t>ko@sberbank-ast.ru</w:t>
      </w:r>
      <w:r>
        <w:fldChar w:fldCharType="end"/>
      </w:r>
    </w:p>
    <w:p>
      <w:pPr>
        <w:widowControl w:val="0"/>
        <w:spacing w:line="360" w:lineRule="exact"/>
      </w:pPr>
      <w:r>
        <w:drawing>
          <wp:anchor distT="0" distB="0" distL="0" distR="0" simplePos="0" relativeHeight="62914690" behindDoc="1" locked="0" layoutInCell="1" allowOverlap="1">
            <wp:simplePos x="0" y="0"/>
            <wp:positionH relativeFrom="page">
              <wp:posOffset>1783080</wp:posOffset>
            </wp:positionH>
            <wp:positionV relativeFrom="margin">
              <wp:posOffset>0</wp:posOffset>
            </wp:positionV>
            <wp:extent cx="51816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8160" cy="6096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59"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9" w:right="538" w:bottom="1221" w:left="1104" w:header="0" w:footer="3" w:gutter="0"/>
          <w:pgNumType w:start="1"/>
          <w:cols w:space="720"/>
          <w:noEndnote/>
          <w:titlePg/>
          <w:rtlGutter w:val="0"/>
          <w:docGrid w:linePitch="360"/>
        </w:sect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955" w:right="0" w:bottom="1359"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w:rPr>
          <w:rStyle w:val="CharStyle14"/>
        </w:rPr>
        <w:t>РЕШЕНИЕ</w:t>
      </w:r>
    </w:p>
    <w:p>
      <w:pPr>
        <w:pStyle w:val="Style13"/>
        <w:keepNext w:val="0"/>
        <w:keepLines w:val="0"/>
        <w:widowControl w:val="0"/>
        <w:shd w:val="clear" w:color="auto" w:fill="auto"/>
        <w:bidi w:val="0"/>
        <w:spacing w:before="0" w:after="0" w:line="240" w:lineRule="auto"/>
        <w:ind w:left="0" w:right="0" w:firstLine="0"/>
        <w:jc w:val="center"/>
      </w:pPr>
      <w:r>
        <w:rPr>
          <w:rStyle w:val="CharStyle14"/>
        </w:rPr>
        <w:t>по делу №070/06/105-396/2026</w:t>
      </w:r>
    </w:p>
    <w:p>
      <w:pPr>
        <w:pStyle w:val="Style13"/>
        <w:keepNext w:val="0"/>
        <w:keepLines w:val="0"/>
        <w:widowControl w:val="0"/>
        <w:shd w:val="clear" w:color="auto" w:fill="auto"/>
        <w:bidi w:val="0"/>
        <w:spacing w:before="0" w:after="0" w:line="240" w:lineRule="auto"/>
        <w:ind w:left="0" w:right="0" w:firstLine="0"/>
        <w:jc w:val="center"/>
      </w:pPr>
      <w:r>
        <w:rPr>
          <w:rStyle w:val="CharStyle14"/>
        </w:rPr>
        <w:t>по результатам рассмотрения жалобы о нарушении</w:t>
        <w:br/>
        <w:t>законодательства Российской Федерации</w:t>
      </w:r>
    </w:p>
    <w:p>
      <w:pPr>
        <w:pStyle w:val="Style13"/>
        <w:keepNext w:val="0"/>
        <w:keepLines w:val="0"/>
        <w:widowControl w:val="0"/>
        <w:shd w:val="clear" w:color="auto" w:fill="auto"/>
        <w:bidi w:val="0"/>
        <w:spacing w:before="0" w:after="320" w:line="240" w:lineRule="auto"/>
        <w:ind w:left="0" w:right="0" w:firstLine="0"/>
        <w:jc w:val="center"/>
      </w:pPr>
      <w:r>
        <w:rPr>
          <w:rStyle w:val="CharStyle14"/>
        </w:rPr>
        <w:t>о контрактной системе в сфере закупок</w:t>
      </w:r>
    </w:p>
    <w:p>
      <w:pPr>
        <w:pStyle w:val="Style13"/>
        <w:keepNext w:val="0"/>
        <w:keepLines w:val="0"/>
        <w:widowControl w:val="0"/>
        <w:shd w:val="clear" w:color="auto" w:fill="auto"/>
        <w:tabs>
          <w:tab w:pos="9019" w:val="left"/>
        </w:tabs>
        <w:bidi w:val="0"/>
        <w:spacing w:before="0" w:after="320" w:line="240" w:lineRule="auto"/>
        <w:ind w:left="0" w:right="0" w:firstLine="0"/>
        <w:jc w:val="left"/>
      </w:pPr>
      <w:r>
        <w:rPr>
          <w:rStyle w:val="CharStyle14"/>
        </w:rPr>
        <w:t>06.05.2026</w:t>
        <w:tab/>
        <w:t>г. Томск</w:t>
      </w:r>
    </w:p>
    <w:p>
      <w:pPr>
        <w:pStyle w:val="Style13"/>
        <w:keepNext w:val="0"/>
        <w:keepLines w:val="0"/>
        <w:widowControl w:val="0"/>
        <w:shd w:val="clear" w:color="auto" w:fill="auto"/>
        <w:bidi w:val="0"/>
        <w:spacing w:before="0" w:after="0" w:line="240" w:lineRule="auto"/>
        <w:ind w:left="0" w:right="0" w:firstLine="720"/>
        <w:jc w:val="left"/>
      </w:pPr>
      <w:r>
        <w:rPr>
          <w:rStyle w:val="CharStyle14"/>
        </w:rPr>
        <w:t>Комиссия Управления Федеральной антимонопольной службы по Томской области по контролю законодательства о контрактной системе в сфере закупок, рассмотрению информации о включении в реестр недобросовестных поставщиков (далее – Комиссия Томского УФАС России, Комиссия) в составе: председателя комиссии:</w:t>
      </w:r>
    </w:p>
    <w:p>
      <w:pPr>
        <w:pStyle w:val="Style13"/>
        <w:keepNext w:val="0"/>
        <w:keepLines w:val="0"/>
        <w:widowControl w:val="0"/>
        <w:shd w:val="clear" w:color="auto" w:fill="auto"/>
        <w:bidi w:val="0"/>
        <w:spacing w:before="0" w:after="0" w:line="240" w:lineRule="auto"/>
        <w:ind w:left="0" w:right="0" w:firstLine="720"/>
        <w:jc w:val="left"/>
      </w:pPr>
      <w:r>
        <w:rPr>
          <w:rStyle w:val="CharStyle14"/>
        </w:rPr>
        <w:t>СИ.М. – врио руководителя управления; членов комиссии: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М Д.А. – начальника отдела контроля органов власти и торгов;</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ПК.С. - специалиста 1 разряда отдела контроля органов власти и торгов,</w:t>
      </w:r>
    </w:p>
    <w:p>
      <w:pPr>
        <w:pStyle w:val="Style13"/>
        <w:keepNext w:val="0"/>
        <w:keepLines w:val="0"/>
        <w:widowControl w:val="0"/>
        <w:shd w:val="clear" w:color="auto" w:fill="auto"/>
        <w:bidi w:val="0"/>
        <w:spacing w:before="0" w:after="0" w:line="240" w:lineRule="auto"/>
        <w:ind w:left="0" w:right="0" w:firstLine="720"/>
        <w:jc w:val="both"/>
      </w:pPr>
      <w:r>
        <w:rPr>
          <w:rStyle w:val="CharStyle14"/>
        </w:rPr>
        <w:t>рассмотрев жалобу ООО «ЗДЖ» (далее – Заявитель) (вх.№3546/26 от 04.05.2026) на действия Заказчика - ФКУ Томская ВК-2 УФСИН России по Томской области при проведении электронного аукциона «Акустическая система» (извещение №0365100001326000004),</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при участии представителей Заказчика – П М.Л. (доверенность от 05.05.2026), Г П.В. (доверенность от 05.05.2026), без участия представителя Заявителя, уведомленного о времени и месте рассмотрения дела,</w:t>
      </w:r>
    </w:p>
    <w:p>
      <w:pPr>
        <w:pStyle w:val="Style13"/>
        <w:keepNext w:val="0"/>
        <w:keepLines w:val="0"/>
        <w:widowControl w:val="0"/>
        <w:shd w:val="clear" w:color="auto" w:fill="auto"/>
        <w:bidi w:val="0"/>
        <w:spacing w:before="0" w:after="160" w:line="240" w:lineRule="auto"/>
        <w:ind w:left="0" w:right="0" w:firstLine="0"/>
        <w:jc w:val="center"/>
      </w:pPr>
      <w:r>
        <w:rPr>
          <w:rStyle w:val="CharStyle14"/>
        </w:rPr>
        <w:t>УСТАНОВЛЕНО:</w:t>
      </w:r>
    </w:p>
    <w:p>
      <w:pPr>
        <w:widowControl w:val="0"/>
        <w:spacing w:line="1" w:lineRule="exact"/>
      </w:pPr>
      <w:r>
        <w:drawing>
          <wp:anchor distT="38100" distB="0" distL="0" distR="0" simplePos="0" relativeHeight="125829378" behindDoc="0" locked="0" layoutInCell="1" allowOverlap="1">
            <wp:simplePos x="0" y="0"/>
            <wp:positionH relativeFrom="page">
              <wp:posOffset>716280</wp:posOffset>
            </wp:positionH>
            <wp:positionV relativeFrom="paragraph">
              <wp:posOffset>38100</wp:posOffset>
            </wp:positionV>
            <wp:extent cx="1517650" cy="29845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1517650" cy="298450"/>
                    </a:xfrm>
                    <a:prstGeom prst="rect"/>
                  </pic:spPr>
                </pic:pic>
              </a:graphicData>
            </a:graphic>
          </wp:anchor>
        </w:drawing>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Томское УФАС России обратился Заявитель с жалобой, поданной в срок и соответствующей статье </w:t>
      </w:r>
      <w:r>
        <w:rPr>
          <w:rStyle w:val="CharStyle14"/>
          <w:lang w:val="en-US" w:eastAsia="en-US"/>
        </w:rPr>
        <w:t xml:space="preserve">105 </w:t>
      </w:r>
      <w:r>
        <w:rPr>
          <w:rStyle w:val="CharStyle14"/>
        </w:rPr>
        <w:t xml:space="preserve">Закона о контрактной системе, на действия Заказчика </w:t>
      </w:r>
      <w:r>
        <w:rPr>
          <w:rStyle w:val="CharStyle14"/>
          <w:lang w:val="en-US" w:eastAsia="en-US"/>
        </w:rPr>
        <w:t xml:space="preserve">- </w:t>
      </w:r>
      <w:r>
        <w:rPr>
          <w:rStyle w:val="CharStyle14"/>
        </w:rPr>
        <w:t xml:space="preserve">ФКУ Томская ВК-2 УФСИН России по Томской области при проведении электронного аукциона «Акустическая система» (извещение </w:t>
      </w:r>
      <w:r>
        <w:rPr>
          <w:rStyle w:val="CharStyle14"/>
          <w:lang w:val="en-US" w:eastAsia="en-US"/>
        </w:rPr>
        <w:t xml:space="preserve">№0365100001326000004), </w:t>
      </w:r>
      <w:r>
        <w:rPr>
          <w:rStyle w:val="CharStyle14"/>
        </w:rPr>
        <w:t>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20"/>
        <w:jc w:val="both"/>
      </w:pPr>
      <w:r>
        <w:rPr>
          <w:rStyle w:val="CharStyle14"/>
        </w:rPr>
        <w:t>Из жалобы Заявителя следует:</w:t>
      </w:r>
    </w:p>
    <w:p>
      <w:pPr>
        <w:pStyle w:val="Style13"/>
        <w:keepNext w:val="0"/>
        <w:keepLines w:val="0"/>
        <w:widowControl w:val="0"/>
        <w:numPr>
          <w:ilvl w:val="0"/>
          <w:numId w:val="1"/>
        </w:numPr>
        <w:shd w:val="clear" w:color="auto" w:fill="auto"/>
        <w:tabs>
          <w:tab w:pos="1416" w:val="left"/>
        </w:tabs>
        <w:bidi w:val="0"/>
        <w:spacing w:before="0" w:after="0" w:line="240" w:lineRule="auto"/>
        <w:ind w:left="0" w:right="0" w:firstLine="720"/>
        <w:jc w:val="both"/>
      </w:pPr>
      <w:r>
        <w:rPr>
          <w:rStyle w:val="CharStyle14"/>
        </w:rPr>
        <w:t>Заказчиком нарушены правила описания объекта закупки, так как под описание объекта закупки не подходит ни один товар;</w:t>
      </w:r>
    </w:p>
    <w:p>
      <w:pPr>
        <w:pStyle w:val="Style13"/>
        <w:keepNext w:val="0"/>
        <w:keepLines w:val="0"/>
        <w:widowControl w:val="0"/>
        <w:numPr>
          <w:ilvl w:val="0"/>
          <w:numId w:val="1"/>
        </w:numPr>
        <w:shd w:val="clear" w:color="auto" w:fill="auto"/>
        <w:tabs>
          <w:tab w:pos="1416" w:val="left"/>
        </w:tabs>
        <w:bidi w:val="0"/>
        <w:spacing w:before="0" w:after="0" w:line="240" w:lineRule="auto"/>
        <w:ind w:left="0" w:right="0" w:firstLine="720"/>
        <w:jc w:val="both"/>
      </w:pPr>
      <w:r>
        <w:rPr>
          <w:rStyle w:val="CharStyle14"/>
        </w:rPr>
        <w:t>Заказчиком нарушены требования ч.1.1 ст.33 Закона о контрактной системе, так как под описание объекта закупки не подходит товар российского производителя;</w:t>
      </w:r>
    </w:p>
    <w:p>
      <w:pPr>
        <w:pStyle w:val="Style13"/>
        <w:keepNext w:val="0"/>
        <w:keepLines w:val="0"/>
        <w:widowControl w:val="0"/>
        <w:numPr>
          <w:ilvl w:val="0"/>
          <w:numId w:val="1"/>
        </w:numPr>
        <w:shd w:val="clear" w:color="auto" w:fill="auto"/>
        <w:tabs>
          <w:tab w:pos="2136" w:val="left"/>
        </w:tabs>
        <w:bidi w:val="0"/>
        <w:spacing w:before="0" w:after="0" w:line="240" w:lineRule="auto"/>
        <w:ind w:left="0" w:right="0" w:firstLine="720"/>
        <w:jc w:val="both"/>
      </w:pPr>
      <w:r>
        <w:rPr>
          <w:rStyle w:val="CharStyle14"/>
        </w:rPr>
        <w:t>Заказчик не дал разъяснений по существу заданных вопросов.</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Заказчик не согласен с доводами жалобы, просит признать жалобу необоснованной.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результате рассмотрения жалобы и осуществления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Закона о контрактной системе внеплановой проверки, Комиссия Томского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Извещение </w:t>
      </w:r>
      <w:r>
        <w:rPr>
          <w:rStyle w:val="CharStyle14"/>
          <w:lang w:val="en-US" w:eastAsia="en-US"/>
        </w:rPr>
        <w:t xml:space="preserve">№0365100001326000004 </w:t>
      </w:r>
      <w:r>
        <w:rPr>
          <w:rStyle w:val="CharStyle14"/>
        </w:rPr>
        <w:t xml:space="preserve">о проведении закупки размещено на официальном сайте единой информационной системы в сфере закупок в информационно-телекоммуникационной сети Интернет (далее </w:t>
      </w:r>
      <w:r>
        <w:rPr>
          <w:rStyle w:val="CharStyle14"/>
          <w:lang w:val="en-US" w:eastAsia="en-US"/>
        </w:rPr>
        <w:t xml:space="preserve">– </w:t>
      </w:r>
      <w:r>
        <w:rPr>
          <w:rStyle w:val="CharStyle14"/>
        </w:rPr>
        <w:t xml:space="preserve">официальный сайт, ЕИС) </w:t>
      </w:r>
      <w:r>
        <w:rPr>
          <w:rStyle w:val="CharStyle14"/>
          <w:lang w:val="en-US" w:eastAsia="en-US"/>
        </w:rPr>
        <w:t xml:space="preserve">22.04.2026 </w:t>
      </w:r>
      <w:r>
        <w:rPr>
          <w:rStyle w:val="CharStyle14"/>
        </w:rPr>
        <w:t>года.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Начальная (максимальная) цена контракта </w:t>
      </w:r>
      <w:r>
        <w:rPr>
          <w:rStyle w:val="CharStyle14"/>
          <w:lang w:val="en-US" w:eastAsia="en-US"/>
        </w:rPr>
        <w:t xml:space="preserve">- 114 745,34 </w:t>
      </w:r>
      <w:r>
        <w:rPr>
          <w:rStyle w:val="CharStyle14"/>
        </w:rPr>
        <w:t>руб.</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Предмет закупки: Акустическая система.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На участие в аукционе подана </w:t>
      </w:r>
      <w:r>
        <w:rPr>
          <w:rStyle w:val="CharStyle14"/>
          <w:lang w:val="en-US" w:eastAsia="en-US"/>
        </w:rPr>
        <w:t xml:space="preserve">1 </w:t>
      </w:r>
      <w:r>
        <w:rPr>
          <w:rStyle w:val="CharStyle14"/>
        </w:rPr>
        <w:t>заявка.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На момент рассмотрения жалобы контракт не заключен.</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силу ч. </w:t>
      </w:r>
      <w:r>
        <w:rPr>
          <w:rStyle w:val="CharStyle14"/>
          <w:lang w:val="en-US" w:eastAsia="en-US"/>
        </w:rPr>
        <w:t xml:space="preserve">1 </w:t>
      </w:r>
      <w:r>
        <w:rPr>
          <w:rStyle w:val="CharStyle14"/>
        </w:rPr>
        <w:t xml:space="preserve">ст. </w:t>
      </w:r>
      <w:r>
        <w:rPr>
          <w:rStyle w:val="CharStyle14"/>
          <w:lang w:val="en-US" w:eastAsia="en-US"/>
        </w:rPr>
        <w:t xml:space="preserve">105 </w:t>
      </w:r>
      <w:r>
        <w:rPr>
          <w:rStyle w:val="CharStyle14"/>
        </w:rPr>
        <w:t xml:space="preserve">Закона о контрактной системе, при проведении конкурентных способов, при осуществлении закупки товара у единственного поставщика в электронной форме на сумму, предусмотренную частью </w:t>
      </w:r>
      <w:r>
        <w:rPr>
          <w:rStyle w:val="CharStyle14"/>
          <w:lang w:val="en-US" w:eastAsia="en-US"/>
        </w:rPr>
        <w:t xml:space="preserve">12 </w:t>
      </w:r>
      <w:r>
        <w:rPr>
          <w:rStyle w:val="CharStyle14"/>
        </w:rPr>
        <w:t xml:space="preserve">статьи </w:t>
      </w:r>
      <w:r>
        <w:rPr>
          <w:rStyle w:val="CharStyle14"/>
          <w:lang w:val="en-US" w:eastAsia="en-US"/>
        </w:rPr>
        <w:t xml:space="preserve">93 </w:t>
      </w:r>
      <w:r>
        <w:rPr>
          <w:rStyle w:val="CharStyle14"/>
        </w:rPr>
        <w:t>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w:t>
      </w:r>
    </w:p>
    <w:p>
      <w:pPr>
        <w:pStyle w:val="Style13"/>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1955" w:right="535" w:bottom="1359" w:left="1102" w:header="0" w:footer="3" w:gutter="0"/>
          <w:cols w:space="720"/>
          <w:noEndnote/>
          <w:rtlGutter w:val="0"/>
          <w:docGrid w:linePitch="360"/>
        </w:sectPr>
      </w:pPr>
      <w:r>
        <w:rPr>
          <w:rStyle w:val="CharStyle14"/>
        </w:rPr>
        <w:t xml:space="preserve">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 Таким образом, право подачи жалобы в контрольный орган в сфере закупок в порядке, установленном главой </w:t>
      </w:r>
      <w:r>
        <w:rPr>
          <w:rStyle w:val="CharStyle14"/>
          <w:lang w:val="en-US" w:eastAsia="en-US"/>
        </w:rPr>
        <w:t xml:space="preserve">6 </w:t>
      </w:r>
      <w:r>
        <w:rPr>
          <w:rStyle w:val="CharStyle14"/>
        </w:rPr>
        <w:t>Закона, предоставлено участнику закупки при условии, если обжалуемые действия (бездействие) субъекта контроля нарушают права и законные интересы такого участника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По смыслу статьи Закона о контрактной системе в сфере закупок направлена на создание равных условий для обеспечения конкуренции между участниками закупок. Любое заинтересованное лицо должно иметь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статье </w:t>
      </w:r>
      <w:r>
        <w:rPr>
          <w:rStyle w:val="CharStyle14"/>
          <w:lang w:val="en-US" w:eastAsia="en-US"/>
        </w:rPr>
        <w:t xml:space="preserve">7 </w:t>
      </w:r>
      <w:r>
        <w:rPr>
          <w:rStyle w:val="CharStyle14"/>
        </w:rPr>
        <w:t xml:space="preserve">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w:t>
      </w:r>
      <w:r>
        <w:rPr>
          <w:rStyle w:val="CharStyle14"/>
          <w:lang w:val="en-US" w:eastAsia="en-US"/>
        </w:rPr>
        <w:t xml:space="preserve">1 </w:t>
      </w:r>
      <w:r>
        <w:rPr>
          <w:rStyle w:val="CharStyle14"/>
        </w:rPr>
        <w:t>статьи, обеспечиваются, в частности, путем ее размещения в единой информационной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Часть </w:t>
      </w:r>
      <w:r>
        <w:rPr>
          <w:rStyle w:val="CharStyle14"/>
          <w:lang w:val="en-US" w:eastAsia="en-US"/>
        </w:rPr>
        <w:t xml:space="preserve">1 </w:t>
      </w:r>
      <w:r>
        <w:rPr>
          <w:rStyle w:val="CharStyle14"/>
        </w:rPr>
        <w:t xml:space="preserve">статьи </w:t>
      </w:r>
      <w:r>
        <w:rPr>
          <w:rStyle w:val="CharStyle14"/>
          <w:lang w:val="en-US" w:eastAsia="en-US"/>
        </w:rPr>
        <w:t xml:space="preserve">8 </w:t>
      </w:r>
      <w:r>
        <w:rPr>
          <w:rStyle w:val="CharStyle14"/>
        </w:rPr>
        <w:t>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частью </w:t>
      </w:r>
      <w:r>
        <w:rPr>
          <w:rStyle w:val="CharStyle14"/>
          <w:lang w:val="en-US" w:eastAsia="en-US"/>
        </w:rPr>
        <w:t xml:space="preserve">2 </w:t>
      </w:r>
      <w:r>
        <w:rPr>
          <w:rStyle w:val="CharStyle14"/>
        </w:rPr>
        <w:t xml:space="preserve">статьи </w:t>
      </w:r>
      <w:r>
        <w:rPr>
          <w:rStyle w:val="CharStyle14"/>
          <w:lang w:val="en-US" w:eastAsia="en-US"/>
        </w:rPr>
        <w:t xml:space="preserve">8 </w:t>
      </w:r>
      <w:r>
        <w:rPr>
          <w:rStyle w:val="CharStyle14"/>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частью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Закона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3"/>
        <w:keepNext w:val="0"/>
        <w:keepLines w:val="0"/>
        <w:widowControl w:val="0"/>
        <w:numPr>
          <w:ilvl w:val="0"/>
          <w:numId w:val="3"/>
        </w:numPr>
        <w:shd w:val="clear" w:color="auto" w:fill="auto"/>
        <w:tabs>
          <w:tab w:pos="1133" w:val="left"/>
        </w:tabs>
        <w:bidi w:val="0"/>
        <w:spacing w:before="0" w:after="0" w:line="240" w:lineRule="auto"/>
        <w:ind w:left="0" w:right="0" w:firstLine="720"/>
        <w:jc w:val="both"/>
      </w:pPr>
      <w:r>
        <w:rPr>
          <w:rStyle w:val="CharStyle14"/>
        </w:rPr>
        <w:t xml:space="preserve">описание объекта закупки в соответствии со статьей </w:t>
      </w:r>
      <w:r>
        <w:rPr>
          <w:rStyle w:val="CharStyle14"/>
          <w:lang w:val="en-US" w:eastAsia="en-US"/>
        </w:rPr>
        <w:t xml:space="preserve">33 </w:t>
      </w:r>
      <w:r>
        <w:rPr>
          <w:rStyle w:val="CharStyle14"/>
        </w:rPr>
        <w:t>настоящего Федерального закона;</w:t>
      </w:r>
    </w:p>
    <w:p>
      <w:pPr>
        <w:pStyle w:val="Style13"/>
        <w:keepNext w:val="0"/>
        <w:keepLines w:val="0"/>
        <w:widowControl w:val="0"/>
        <w:numPr>
          <w:ilvl w:val="0"/>
          <w:numId w:val="3"/>
        </w:numPr>
        <w:shd w:val="clear" w:color="auto" w:fill="auto"/>
        <w:tabs>
          <w:tab w:pos="1133" w:val="left"/>
        </w:tabs>
        <w:bidi w:val="0"/>
        <w:spacing w:before="0" w:after="0" w:line="240" w:lineRule="auto"/>
        <w:ind w:left="0" w:right="0" w:firstLine="720"/>
        <w:jc w:val="both"/>
      </w:pPr>
      <w:r>
        <w:rPr>
          <w:rStyle w:val="CharStyle14"/>
        </w:rPr>
        <w:t>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Style13"/>
        <w:keepNext w:val="0"/>
        <w:keepLines w:val="0"/>
        <w:widowControl w:val="0"/>
        <w:numPr>
          <w:ilvl w:val="0"/>
          <w:numId w:val="3"/>
        </w:numPr>
        <w:shd w:val="clear" w:color="auto" w:fill="auto"/>
        <w:tabs>
          <w:tab w:pos="1133" w:val="left"/>
        </w:tabs>
        <w:bidi w:val="0"/>
        <w:spacing w:before="0" w:after="0" w:line="283" w:lineRule="auto"/>
        <w:ind w:left="0" w:right="0" w:firstLine="720"/>
        <w:jc w:val="both"/>
        <w:rPr>
          <w:sz w:val="24"/>
          <w:szCs w:val="24"/>
        </w:rPr>
      </w:pPr>
      <w:r>
        <w:rPr>
          <w:rStyle w:val="CharStyle14"/>
        </w:rPr>
        <w:t xml:space="preserve">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w:t>
      </w:r>
      <w:r>
        <w:rPr>
          <w:rStyle w:val="CharStyle14"/>
          <w:sz w:val="24"/>
          <w:szCs w:val="24"/>
          <w:lang w:val="en-US" w:eastAsia="en-US"/>
        </w:rPr>
        <w:t>2026-3096</w:t>
      </w:r>
    </w:p>
    <w:p>
      <w:pPr>
        <w:pStyle w:val="Style13"/>
        <w:keepNext w:val="0"/>
        <w:keepLines w:val="0"/>
        <w:widowControl w:val="0"/>
        <w:shd w:val="clear" w:color="auto" w:fill="auto"/>
        <w:bidi w:val="0"/>
        <w:spacing w:before="0" w:after="60" w:line="240" w:lineRule="auto"/>
        <w:ind w:left="0" w:right="0" w:firstLine="0"/>
        <w:jc w:val="both"/>
      </w:pPr>
      <w:r>
        <w:rPr>
          <w:rStyle w:val="CharStyle14"/>
        </w:rPr>
        <w:t>количества участников закупки;</w:t>
      </w:r>
    </w:p>
    <w:p>
      <w:pPr>
        <w:pStyle w:val="Style13"/>
        <w:keepNext w:val="0"/>
        <w:keepLines w:val="0"/>
        <w:widowControl w:val="0"/>
        <w:numPr>
          <w:ilvl w:val="0"/>
          <w:numId w:val="3"/>
        </w:numPr>
        <w:shd w:val="clear" w:color="auto" w:fill="auto"/>
        <w:tabs>
          <w:tab w:pos="1133" w:val="left"/>
        </w:tabs>
        <w:bidi w:val="0"/>
        <w:spacing w:before="0" w:after="0" w:line="240" w:lineRule="auto"/>
        <w:ind w:left="0" w:right="0" w:firstLine="740"/>
        <w:jc w:val="both"/>
      </w:pPr>
      <w:r>
        <w:rPr>
          <w:rStyle w:val="CharStyle14"/>
        </w:rPr>
        <w:t>порядок рассмотрения и оценки заявок на участие в конкурсах в соответствии с настоящим Федеральным законом;</w:t>
      </w:r>
    </w:p>
    <w:p>
      <w:pPr>
        <w:pStyle w:val="Style13"/>
        <w:keepNext w:val="0"/>
        <w:keepLines w:val="0"/>
        <w:widowControl w:val="0"/>
        <w:numPr>
          <w:ilvl w:val="0"/>
          <w:numId w:val="3"/>
        </w:numPr>
        <w:shd w:val="clear" w:color="auto" w:fill="auto"/>
        <w:tabs>
          <w:tab w:pos="1873" w:val="left"/>
        </w:tabs>
        <w:bidi w:val="0"/>
        <w:spacing w:before="0" w:after="0" w:line="240" w:lineRule="auto"/>
        <w:ind w:left="0" w:right="0" w:firstLine="740"/>
        <w:jc w:val="both"/>
      </w:pPr>
      <w:r>
        <w:rPr>
          <w:rStyle w:val="CharStyle14"/>
        </w:rPr>
        <w:t>проект контракта.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В соответствии с пунктом </w:t>
      </w:r>
      <w:r>
        <w:rPr>
          <w:rStyle w:val="CharStyle14"/>
          <w:lang w:val="en-US" w:eastAsia="en-US"/>
        </w:rPr>
        <w:t xml:space="preserve">1, 2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line="283" w:lineRule="auto"/>
        <w:ind w:left="0" w:right="0" w:firstLine="740"/>
        <w:jc w:val="both"/>
        <w:rPr>
          <w:sz w:val="24"/>
          <w:szCs w:val="24"/>
        </w:rPr>
      </w:pPr>
      <w:r>
        <w:rPr>
          <w:rStyle w:val="CharStyle14"/>
        </w:rPr>
        <w:t xml:space="preserve">В силу части </w:t>
      </w:r>
      <w:r>
        <w:rPr>
          <w:rStyle w:val="CharStyle14"/>
          <w:lang w:val="en-US" w:eastAsia="en-US"/>
        </w:rPr>
        <w:t xml:space="preserve">2 </w:t>
      </w:r>
      <w:r>
        <w:rPr>
          <w:rStyle w:val="CharStyle14"/>
        </w:rPr>
        <w:t xml:space="preserve">статьи </w:t>
      </w:r>
      <w:r>
        <w:rPr>
          <w:rStyle w:val="CharStyle14"/>
          <w:lang w:val="en-US" w:eastAsia="en-US"/>
        </w:rPr>
        <w:t xml:space="preserve">33 </w:t>
      </w:r>
      <w:r>
        <w:rPr>
          <w:rStyle w:val="CharStyle14"/>
        </w:rPr>
        <w:t xml:space="preserve">Закона о контрактной системе, описание объекта закупки в соответствии с требованиями, указанными в части </w:t>
      </w:r>
      <w:r>
        <w:rPr>
          <w:rStyle w:val="CharStyle14"/>
          <w:lang w:val="en-US" w:eastAsia="en-US"/>
        </w:rPr>
        <w:t xml:space="preserve">1 </w:t>
      </w:r>
      <w:r>
        <w:rPr>
          <w:rStyle w:val="CharStyle14"/>
        </w:rPr>
        <w:t xml:space="preserve">настоящей статьи, должно содержать показатели, позволяющие определить соответствие закупаемых </w:t>
      </w:r>
      <w:r>
        <w:rPr>
          <w:rStyle w:val="CharStyle14"/>
          <w:sz w:val="24"/>
          <w:szCs w:val="24"/>
          <w:lang w:val="en-US" w:eastAsia="en-US"/>
        </w:rPr>
        <w:t>2026-3096</w:t>
      </w:r>
    </w:p>
    <w:p>
      <w:pPr>
        <w:pStyle w:val="Style13"/>
        <w:keepNext w:val="0"/>
        <w:keepLines w:val="0"/>
        <w:widowControl w:val="0"/>
        <w:shd w:val="clear" w:color="auto" w:fill="auto"/>
        <w:bidi w:val="0"/>
        <w:spacing w:before="0" w:after="0" w:line="240" w:lineRule="auto"/>
        <w:ind w:left="0" w:right="0" w:firstLine="0"/>
        <w:jc w:val="both"/>
      </w:pPr>
      <w:r>
        <w:rPr>
          <w:rStyle w:val="CharStyle14"/>
        </w:rPr>
        <w:t>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частью </w:t>
      </w:r>
      <w:r>
        <w:rPr>
          <w:rStyle w:val="CharStyle14"/>
          <w:lang w:val="en-US" w:eastAsia="en-US"/>
        </w:rPr>
        <w:t xml:space="preserve">3 </w:t>
      </w:r>
      <w:r>
        <w:rPr>
          <w:rStyle w:val="CharStyle14"/>
        </w:rPr>
        <w:t xml:space="preserve">статьи </w:t>
      </w:r>
      <w:r>
        <w:rPr>
          <w:rStyle w:val="CharStyle14"/>
          <w:lang w:val="en-US" w:eastAsia="en-US"/>
        </w:rPr>
        <w:t xml:space="preserve">33 </w:t>
      </w:r>
      <w:r>
        <w:rPr>
          <w:rStyle w:val="CharStyle14"/>
        </w:rPr>
        <w:t>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Из буквального толкования положений пункта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 xml:space="preserve">и части </w:t>
      </w:r>
      <w:r>
        <w:rPr>
          <w:rStyle w:val="CharStyle14"/>
          <w:lang w:val="en-US" w:eastAsia="en-US"/>
        </w:rPr>
        <w:t xml:space="preserve">2 </w:t>
      </w:r>
      <w:r>
        <w:rPr>
          <w:rStyle w:val="CharStyle14"/>
        </w:rPr>
        <w:t xml:space="preserve">статьи </w:t>
      </w:r>
      <w:r>
        <w:rPr>
          <w:rStyle w:val="CharStyle14"/>
          <w:lang w:val="en-US" w:eastAsia="en-US"/>
        </w:rPr>
        <w:t xml:space="preserve">33 </w:t>
      </w:r>
      <w:r>
        <w:rPr>
          <w:rStyle w:val="CharStyle14"/>
        </w:rPr>
        <w:t>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Таким образом, заказчику при формировании технического задания предоставлены полномочия по самостоятельному определению параметров и характеристик товара, в наибольшей степени удовлетворяющих его потребности. При этом Закон о контрактной системе не содержит норм, ограничивающих право заказчика включать в документацию требования к объекту закупки, которые являются для него значимыми и необходимыми для выполнения соответствующих государственных (муниципальных) функций, равно как и норм, обязывающих заказчика устанавливать в этой документации,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 Целью правового регулирования проведения конкурентных процедур является не обеспечение доступа к закупке как можно большему количеству участников, а качественное удовлетворение потребностей заказчика на основе конкуренции. Сам по себе факт установления определенных требований к товару не свидетельствует об ограничении количества участников закупки.</w:t>
      </w:r>
    </w:p>
    <w:p>
      <w:pPr>
        <w:pStyle w:val="Style13"/>
        <w:keepNext w:val="0"/>
        <w:keepLines w:val="0"/>
        <w:widowControl w:val="0"/>
        <w:shd w:val="clear" w:color="auto" w:fill="auto"/>
        <w:bidi w:val="0"/>
        <w:spacing w:before="0" w:after="0" w:line="266" w:lineRule="auto"/>
        <w:ind w:left="0" w:right="0" w:firstLine="720"/>
        <w:jc w:val="both"/>
        <w:rPr>
          <w:sz w:val="24"/>
          <w:szCs w:val="24"/>
        </w:rPr>
      </w:pPr>
      <w:r>
        <w:rPr>
          <w:rStyle w:val="CharStyle14"/>
        </w:rPr>
        <w:t xml:space="preserve">При этом заказчики, осуществляющие закупку по правилам Закона контрактной системе,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w:t>
      </w:r>
      <w:r>
        <w:rPr>
          <w:rStyle w:val="CharStyle14"/>
          <w:sz w:val="24"/>
          <w:szCs w:val="24"/>
          <w:lang w:val="en-US" w:eastAsia="en-US"/>
        </w:rPr>
        <w:t>2026-3096</w:t>
      </w:r>
    </w:p>
    <w:p>
      <w:pPr>
        <w:pStyle w:val="Style13"/>
        <w:keepNext w:val="0"/>
        <w:keepLines w:val="0"/>
        <w:widowControl w:val="0"/>
        <w:shd w:val="clear" w:color="auto" w:fill="auto"/>
        <w:bidi w:val="0"/>
        <w:spacing w:before="0" w:after="0" w:line="240" w:lineRule="auto"/>
        <w:ind w:left="0" w:right="0" w:firstLine="0"/>
        <w:jc w:val="both"/>
      </w:pPr>
      <w:r>
        <w:rPr>
          <w:rStyle w:val="CharStyle14"/>
        </w:rPr>
        <w:t>необоснованно не ограничить количество участников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Принцип недопустимости ограничения конкуренции (статья </w:t>
      </w:r>
      <w:r>
        <w:rPr>
          <w:rStyle w:val="CharStyle14"/>
          <w:lang w:val="en-US" w:eastAsia="en-US"/>
        </w:rPr>
        <w:t xml:space="preserve">8 </w:t>
      </w:r>
      <w:r>
        <w:rPr>
          <w:rStyle w:val="CharStyle14"/>
        </w:rPr>
        <w:t xml:space="preserve">Закона о контрактной системе) согласуется с предусмотренным частью </w:t>
      </w:r>
      <w:r>
        <w:rPr>
          <w:rStyle w:val="CharStyle14"/>
          <w:lang w:val="en-US" w:eastAsia="en-US"/>
        </w:rPr>
        <w:t xml:space="preserve">1 </w:t>
      </w:r>
      <w:r>
        <w:rPr>
          <w:rStyle w:val="CharStyle14"/>
        </w:rPr>
        <w:t xml:space="preserve">статьи </w:t>
      </w:r>
      <w:r>
        <w:rPr>
          <w:rStyle w:val="CharStyle14"/>
          <w:lang w:val="en-US" w:eastAsia="en-US"/>
        </w:rPr>
        <w:t xml:space="preserve">17 </w:t>
      </w:r>
      <w:r>
        <w:rPr>
          <w:rStyle w:val="CharStyle14"/>
        </w:rPr>
        <w:t xml:space="preserve">Федерального закона от </w:t>
      </w:r>
      <w:r>
        <w:rPr>
          <w:rStyle w:val="CharStyle14"/>
          <w:lang w:val="en-US" w:eastAsia="en-US"/>
        </w:rPr>
        <w:t xml:space="preserve">26.07.2006 № </w:t>
      </w:r>
      <w:r>
        <w:rPr>
          <w:rStyle w:val="CharStyle14"/>
        </w:rPr>
        <w:t>135-ФЗ «О защите конкуренции» запретом при проведении торгов осуществлять действия, которые приводят или могут привести к недопущению, ограничению или устранению конкуренции.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Указание конкретного товарного знака или требований к закупаемому товару, свидетельствующее о его конкретном производителе, в отсутствие специфики такого товара, его использования приводит к созданию необоснованных препятствий для участников закупки, влечет сокращение их количества, что является признаком ограничения конкуренции.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связи с чем объект закупки должен быть сформирован таким образом, чтобы совокупности характеристик товаров соответствовало несколько производителей, при этом товар отвечал требованиям извещения об осуществлении закупки, иное не будет отвечать совокупности требований 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Указанная позиция изложена в письме ФАС России от </w:t>
      </w:r>
      <w:r>
        <w:rPr>
          <w:rStyle w:val="CharStyle14"/>
          <w:lang w:val="en-US" w:eastAsia="en-US"/>
        </w:rPr>
        <w:t>21.03.2025 №28/26176/25.</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частью </w:t>
      </w:r>
      <w:r>
        <w:rPr>
          <w:rStyle w:val="CharStyle14"/>
          <w:lang w:val="en-US" w:eastAsia="en-US"/>
        </w:rPr>
        <w:t xml:space="preserve">1.1 </w:t>
      </w:r>
      <w:r>
        <w:rPr>
          <w:rStyle w:val="CharStyle14"/>
        </w:rPr>
        <w:t xml:space="preserve">статьи </w:t>
      </w:r>
      <w:r>
        <w:rPr>
          <w:rStyle w:val="CharStyle14"/>
          <w:lang w:val="en-US" w:eastAsia="en-US"/>
        </w:rPr>
        <w:t xml:space="preserve">33 </w:t>
      </w:r>
      <w:r>
        <w:rPr>
          <w:rStyle w:val="CharStyle14"/>
        </w:rPr>
        <w:t>Закона о контрактной системе, при описании являющегося объектом закупки товара, в отношении которого Правительством Российской Федерации установлены запрет, ограничение или преимущество, указываются характеристики товара российского происхождения.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п. </w:t>
      </w:r>
      <w:r>
        <w:rPr>
          <w:rStyle w:val="CharStyle14"/>
          <w:lang w:val="en-US" w:eastAsia="en-US"/>
        </w:rPr>
        <w:t xml:space="preserve">15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3"/>
        <w:keepNext w:val="0"/>
        <w:keepLines w:val="0"/>
        <w:widowControl w:val="0"/>
        <w:shd w:val="clear" w:color="auto" w:fill="auto"/>
        <w:bidi w:val="0"/>
        <w:spacing w:before="0" w:after="0" w:line="262" w:lineRule="auto"/>
        <w:ind w:left="0" w:right="0" w:firstLine="720"/>
        <w:jc w:val="both"/>
        <w:rPr>
          <w:sz w:val="24"/>
          <w:szCs w:val="24"/>
        </w:rPr>
        <w:sectPr>
          <w:headerReference w:type="default" r:id="rId13"/>
          <w:footerReference w:type="default" r:id="rId14"/>
          <w:footnotePr>
            <w:pos w:val="pageBottom"/>
            <w:numFmt w:val="decimal"/>
            <w:numRestart w:val="continuous"/>
          </w:footnotePr>
          <w:pgSz w:w="11900" w:h="16840"/>
          <w:pgMar w:top="1690" w:right="533" w:bottom="788" w:left="1100" w:header="0" w:footer="360" w:gutter="0"/>
          <w:cols w:space="720"/>
          <w:noEndnote/>
          <w:rtlGutter w:val="0"/>
          <w:docGrid w:linePitch="360"/>
        </w:sectPr>
      </w:pPr>
      <w:r>
        <w:rPr>
          <w:rStyle w:val="CharStyle14"/>
        </w:rPr>
        <w:t xml:space="preserve">Согласно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4"/>
          <w:lang w:val="en-US" w:eastAsia="en-US"/>
        </w:rPr>
        <w:t xml:space="preserve">- </w:t>
      </w:r>
      <w:r>
        <w:rPr>
          <w:rStyle w:val="CharStyle14"/>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4"/>
          <w:lang w:val="en-US" w:eastAsia="en-US"/>
        </w:rPr>
        <w:t xml:space="preserve">- </w:t>
      </w:r>
      <w:r>
        <w:rPr>
          <w:rStyle w:val="CharStyle14"/>
        </w:rPr>
        <w:t xml:space="preserve">иностранное лицо), равные условия с товаром российского происхождения, работой, </w:t>
      </w:r>
      <w:r>
        <w:rPr>
          <w:rStyle w:val="CharStyle14"/>
          <w:sz w:val="24"/>
          <w:szCs w:val="24"/>
          <w:lang w:val="en-US" w:eastAsia="en-US"/>
        </w:rPr>
        <w:t>2026-3096</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услугой, соответственно выполняемой, оказываемой российским гражданином или российским юридическим лицом (далее </w:t>
      </w:r>
      <w:r>
        <w:rPr>
          <w:rStyle w:val="CharStyle14"/>
          <w:lang w:val="en-US" w:eastAsia="en-US"/>
        </w:rPr>
        <w:t xml:space="preserve">- </w:t>
      </w:r>
      <w:r>
        <w:rPr>
          <w:rStyle w:val="CharStyle14"/>
        </w:rPr>
        <w:t xml:space="preserve">российское лицо), за исключением случаев принятия Правительством Российской Федерации мер, предусмотренных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Частью </w:t>
      </w:r>
      <w:r>
        <w:rPr>
          <w:rStyle w:val="CharStyle14"/>
          <w:lang w:val="en-US" w:eastAsia="en-US"/>
        </w:rPr>
        <w:t xml:space="preserve">2 </w:t>
      </w:r>
      <w:r>
        <w:rPr>
          <w:rStyle w:val="CharStyle14"/>
        </w:rPr>
        <w:t>ст.14 Закона о контрактной системе установлено, что Правительство Российской Федерации:</w:t>
      </w:r>
    </w:p>
    <w:p>
      <w:pPr>
        <w:pStyle w:val="Style13"/>
        <w:keepNext w:val="0"/>
        <w:keepLines w:val="0"/>
        <w:widowControl w:val="0"/>
        <w:numPr>
          <w:ilvl w:val="0"/>
          <w:numId w:val="5"/>
        </w:numPr>
        <w:shd w:val="clear" w:color="auto" w:fill="auto"/>
        <w:tabs>
          <w:tab w:pos="1089" w:val="left"/>
        </w:tabs>
        <w:bidi w:val="0"/>
        <w:spacing w:before="0" w:after="0" w:line="240" w:lineRule="auto"/>
        <w:ind w:left="0" w:right="0" w:firstLine="740"/>
        <w:jc w:val="both"/>
      </w:pPr>
      <w:r>
        <w:rPr>
          <w:rStyle w:val="CharStyle14"/>
        </w:rPr>
        <w:t xml:space="preserve">вправе с учетом положений части </w:t>
      </w:r>
      <w:r>
        <w:rPr>
          <w:rStyle w:val="CharStyle14"/>
          <w:lang w:val="en-US" w:eastAsia="en-US"/>
        </w:rPr>
        <w:t xml:space="preserve">3 </w:t>
      </w:r>
      <w:r>
        <w:rPr>
          <w:rStyle w:val="CharStyle14"/>
        </w:rPr>
        <w:t>настоящей статьи принимать меры, устанавливающие:</w:t>
      </w:r>
    </w:p>
    <w:p>
      <w:pPr>
        <w:pStyle w:val="Style13"/>
        <w:keepNext w:val="0"/>
        <w:keepLines w:val="0"/>
        <w:widowControl w:val="0"/>
        <w:numPr>
          <w:ilvl w:val="0"/>
          <w:numId w:val="7"/>
        </w:numPr>
        <w:shd w:val="clear" w:color="auto" w:fill="auto"/>
        <w:tabs>
          <w:tab w:pos="1089" w:val="left"/>
        </w:tabs>
        <w:bidi w:val="0"/>
        <w:spacing w:before="0" w:after="0" w:line="240" w:lineRule="auto"/>
        <w:ind w:left="0" w:right="0" w:firstLine="740"/>
        <w:jc w:val="both"/>
      </w:pPr>
      <w:r>
        <w:rPr>
          <w:rStyle w:val="CharStyle14"/>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7"/>
        </w:numPr>
        <w:shd w:val="clear" w:color="auto" w:fill="auto"/>
        <w:tabs>
          <w:tab w:pos="1089" w:val="left"/>
        </w:tabs>
        <w:bidi w:val="0"/>
        <w:spacing w:before="0" w:after="0" w:line="240" w:lineRule="auto"/>
        <w:ind w:left="0" w:right="0" w:firstLine="740"/>
        <w:jc w:val="both"/>
      </w:pPr>
      <w:r>
        <w:rPr>
          <w:rStyle w:val="CharStyle14"/>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7"/>
        </w:numPr>
        <w:shd w:val="clear" w:color="auto" w:fill="auto"/>
        <w:tabs>
          <w:tab w:pos="1089" w:val="left"/>
        </w:tabs>
        <w:bidi w:val="0"/>
        <w:spacing w:before="0" w:after="0" w:line="240" w:lineRule="auto"/>
        <w:ind w:left="0" w:right="0" w:firstLine="740"/>
        <w:jc w:val="both"/>
      </w:pPr>
      <w:r>
        <w:rPr>
          <w:rStyle w:val="CharStyle14"/>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3"/>
        <w:keepNext w:val="0"/>
        <w:keepLines w:val="0"/>
        <w:widowControl w:val="0"/>
        <w:numPr>
          <w:ilvl w:val="0"/>
          <w:numId w:val="5"/>
        </w:numPr>
        <w:shd w:val="clear" w:color="auto" w:fill="auto"/>
        <w:tabs>
          <w:tab w:pos="1089" w:val="left"/>
        </w:tabs>
        <w:bidi w:val="0"/>
        <w:spacing w:before="0" w:after="0" w:line="240" w:lineRule="auto"/>
        <w:ind w:left="0" w:right="0" w:firstLine="740"/>
        <w:jc w:val="both"/>
      </w:pPr>
      <w:r>
        <w:rPr>
          <w:rStyle w:val="CharStyle14"/>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4"/>
          <w:lang w:val="en-US" w:eastAsia="en-US"/>
        </w:rPr>
        <w:t xml:space="preserve">1 </w:t>
      </w:r>
      <w:r>
        <w:rPr>
          <w:rStyle w:val="CharStyle14"/>
        </w:rPr>
        <w:t>настоящей части.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Постановлением Правительства РФ от </w:t>
      </w:r>
      <w:r>
        <w:rPr>
          <w:rStyle w:val="CharStyle14"/>
          <w:lang w:val="en-US" w:eastAsia="en-US"/>
        </w:rPr>
        <w:t xml:space="preserve">23.12.2024 </w:t>
      </w:r>
      <w:r>
        <w:rPr>
          <w:rStyle w:val="CharStyle14"/>
        </w:rPr>
        <w:t xml:space="preserve">г. </w:t>
      </w:r>
      <w:r>
        <w:rPr>
          <w:rStyle w:val="CharStyle14"/>
          <w:lang w:val="en-US" w:eastAsia="en-US"/>
        </w:rPr>
        <w:t xml:space="preserve">№1875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4"/>
          <w:lang w:val="en-US" w:eastAsia="en-US"/>
        </w:rPr>
        <w:t xml:space="preserve">- </w:t>
      </w:r>
      <w:r>
        <w:rPr>
          <w:rStyle w:val="CharStyle14"/>
        </w:rPr>
        <w:t xml:space="preserve">Постановление </w:t>
      </w:r>
      <w:r>
        <w:rPr>
          <w:rStyle w:val="CharStyle14"/>
          <w:lang w:val="en-US" w:eastAsia="en-US"/>
        </w:rPr>
        <w:t xml:space="preserve">№1875) </w:t>
      </w:r>
      <w:r>
        <w:rPr>
          <w:rStyle w:val="CharStyle14"/>
        </w:rPr>
        <w:t>предусмотрены:</w:t>
      </w:r>
    </w:p>
    <w:p>
      <w:pPr>
        <w:pStyle w:val="Style13"/>
        <w:keepNext w:val="0"/>
        <w:keepLines w:val="0"/>
        <w:widowControl w:val="0"/>
        <w:numPr>
          <w:ilvl w:val="0"/>
          <w:numId w:val="9"/>
        </w:numPr>
        <w:shd w:val="clear" w:color="auto" w:fill="auto"/>
        <w:tabs>
          <w:tab w:pos="1089" w:val="left"/>
        </w:tabs>
        <w:bidi w:val="0"/>
        <w:spacing w:before="0" w:after="0" w:line="240" w:lineRule="auto"/>
        <w:ind w:left="0" w:right="0" w:firstLine="740"/>
        <w:jc w:val="both"/>
      </w:pPr>
      <w:r>
        <w:rPr>
          <w:rStyle w:val="CharStyle14"/>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а также закупок иностранных товаров, работ, услуг в рамках мероприятий государственного оборонного заказа (согласно перечню, приведенному в приложении </w:t>
      </w:r>
      <w:r>
        <w:rPr>
          <w:rStyle w:val="CharStyle14"/>
          <w:lang w:val="en-US" w:eastAsia="en-US"/>
        </w:rPr>
        <w:t>№1);</w:t>
      </w:r>
    </w:p>
    <w:p>
      <w:pPr>
        <w:pStyle w:val="Style13"/>
        <w:keepNext w:val="0"/>
        <w:keepLines w:val="0"/>
        <w:widowControl w:val="0"/>
        <w:numPr>
          <w:ilvl w:val="0"/>
          <w:numId w:val="9"/>
        </w:numPr>
        <w:shd w:val="clear" w:color="auto" w:fill="auto"/>
        <w:tabs>
          <w:tab w:pos="1748" w:val="left"/>
        </w:tabs>
        <w:bidi w:val="0"/>
        <w:spacing w:before="0" w:after="0" w:line="240" w:lineRule="auto"/>
        <w:ind w:left="0" w:right="0" w:firstLine="740"/>
        <w:jc w:val="both"/>
      </w:pPr>
      <w:r>
        <w:rPr>
          <w:rStyle w:val="CharStyle14"/>
        </w:rPr>
        <w:t>ограничение закупок товаров (в том числе поставляемых при выполнении</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(согласно перечню, приведенному в приложении </w:t>
      </w:r>
      <w:r>
        <w:rPr>
          <w:rStyle w:val="CharStyle14"/>
          <w:lang w:val="en-US" w:eastAsia="en-US"/>
        </w:rPr>
        <w:t>№2);</w:t>
      </w:r>
    </w:p>
    <w:p>
      <w:pPr>
        <w:pStyle w:val="Style13"/>
        <w:keepNext w:val="0"/>
        <w:keepLines w:val="0"/>
        <w:widowControl w:val="0"/>
        <w:numPr>
          <w:ilvl w:val="0"/>
          <w:numId w:val="9"/>
        </w:numPr>
        <w:shd w:val="clear" w:color="auto" w:fill="auto"/>
        <w:tabs>
          <w:tab w:pos="1008" w:val="left"/>
        </w:tabs>
        <w:bidi w:val="0"/>
        <w:spacing w:before="0" w:after="0" w:line="240" w:lineRule="auto"/>
        <w:ind w:left="0" w:right="0" w:firstLine="740"/>
        <w:jc w:val="both"/>
      </w:pPr>
      <w:r>
        <w:rPr>
          <w:rStyle w:val="CharStyle14"/>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Согласно структурированной форме извещения, Заказчику требуется к поставке акустическая система, КТРУ </w:t>
      </w:r>
      <w:r>
        <w:rPr>
          <w:rStyle w:val="CharStyle14"/>
          <w:lang w:val="en-US" w:eastAsia="en-US"/>
        </w:rPr>
        <w:t>26.40.31.190-00000010.</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Заказчиком по закупке </w:t>
      </w:r>
      <w:r>
        <w:rPr>
          <w:rStyle w:val="CharStyle14"/>
          <w:lang w:val="en-US" w:eastAsia="en-US"/>
        </w:rPr>
        <w:t xml:space="preserve">№0365100001326000004 </w:t>
      </w:r>
      <w:r>
        <w:rPr>
          <w:rStyle w:val="CharStyle14"/>
        </w:rPr>
        <w:t xml:space="preserve">установлены ограничения закупок товаров, происходящих из иностранных государств, выполняемых работ, оказываемых услуг иностранными лицами в соответствии с Постановлением Правительства РФ от </w:t>
      </w:r>
      <w:r>
        <w:rPr>
          <w:rStyle w:val="CharStyle14"/>
          <w:lang w:val="en-US" w:eastAsia="en-US"/>
        </w:rPr>
        <w:t xml:space="preserve">23.12.2024 №1875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в связи с тем, что товар с кодом ОКПД2 </w:t>
      </w:r>
      <w:r>
        <w:rPr>
          <w:rStyle w:val="CharStyle14"/>
          <w:lang w:val="en-US" w:eastAsia="en-US"/>
        </w:rPr>
        <w:t xml:space="preserve">- 26.40.31.190 </w:t>
      </w:r>
      <w:r>
        <w:rPr>
          <w:rStyle w:val="CharStyle14"/>
        </w:rPr>
        <w:t xml:space="preserve">включен в позицию </w:t>
      </w:r>
      <w:r>
        <w:rPr>
          <w:rStyle w:val="CharStyle14"/>
          <w:lang w:val="en-US" w:eastAsia="en-US"/>
        </w:rPr>
        <w:t xml:space="preserve">237 </w:t>
      </w:r>
      <w:r>
        <w:rPr>
          <w:rStyle w:val="CharStyle14"/>
        </w:rPr>
        <w:t xml:space="preserve">Приложения </w:t>
      </w:r>
      <w:r>
        <w:rPr>
          <w:rStyle w:val="CharStyle14"/>
          <w:lang w:val="en-US" w:eastAsia="en-US"/>
        </w:rPr>
        <w:t xml:space="preserve">№2 </w:t>
      </w:r>
      <w:r>
        <w:rPr>
          <w:rStyle w:val="CharStyle14"/>
        </w:rPr>
        <w:t xml:space="preserve">к Постановлению </w:t>
      </w:r>
      <w:r>
        <w:rPr>
          <w:rStyle w:val="CharStyle14"/>
          <w:lang w:val="en-US" w:eastAsia="en-US"/>
        </w:rPr>
        <w:t>№1875.</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Комиссия Томского УФАС России отмечает, что Заказчиком правомерно установлено ограничение в отношении товаров российского происхождения, так как указанные позиции входят в перечень приложения </w:t>
      </w:r>
      <w:r>
        <w:rPr>
          <w:rStyle w:val="CharStyle14"/>
          <w:lang w:val="en-US" w:eastAsia="en-US"/>
        </w:rPr>
        <w:t xml:space="preserve">№2 </w:t>
      </w:r>
      <w:r>
        <w:rPr>
          <w:rStyle w:val="CharStyle14"/>
        </w:rPr>
        <w:t xml:space="preserve">Постановления Правительства </w:t>
      </w:r>
      <w:r>
        <w:rPr>
          <w:rStyle w:val="CharStyle14"/>
          <w:lang w:val="en-US" w:eastAsia="en-US"/>
        </w:rPr>
        <w:t>№1875.</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Исходя из требований пункта </w:t>
      </w:r>
      <w:r>
        <w:rPr>
          <w:rStyle w:val="CharStyle14"/>
          <w:lang w:val="en-US" w:eastAsia="en-US"/>
        </w:rPr>
        <w:t xml:space="preserve">5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4"/>
          <w:lang w:val="en-US" w:eastAsia="en-US"/>
        </w:rPr>
        <w:t xml:space="preserve">6 </w:t>
      </w:r>
      <w:r>
        <w:rPr>
          <w:rStyle w:val="CharStyle14"/>
        </w:rPr>
        <w:t xml:space="preserve">статьи </w:t>
      </w:r>
      <w:r>
        <w:rPr>
          <w:rStyle w:val="CharStyle14"/>
          <w:lang w:val="en-US" w:eastAsia="en-US"/>
        </w:rPr>
        <w:t xml:space="preserve">23 </w:t>
      </w:r>
      <w:r>
        <w:rPr>
          <w:rStyle w:val="CharStyle14"/>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В соответствии с частью </w:t>
      </w:r>
      <w:r>
        <w:rPr>
          <w:rStyle w:val="CharStyle14"/>
          <w:lang w:val="en-US" w:eastAsia="en-US"/>
        </w:rPr>
        <w:t xml:space="preserve">5 </w:t>
      </w:r>
      <w:r>
        <w:rPr>
          <w:rStyle w:val="CharStyle14"/>
        </w:rPr>
        <w:t xml:space="preserve">статьи </w:t>
      </w:r>
      <w:r>
        <w:rPr>
          <w:rStyle w:val="CharStyle14"/>
          <w:lang w:val="en-US" w:eastAsia="en-US"/>
        </w:rPr>
        <w:t xml:space="preserve">23 </w:t>
      </w:r>
      <w:r>
        <w:rPr>
          <w:rStyle w:val="CharStyle14"/>
        </w:rPr>
        <w:t>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Согласно части </w:t>
      </w:r>
      <w:r>
        <w:rPr>
          <w:rStyle w:val="CharStyle14"/>
          <w:lang w:val="en-US" w:eastAsia="en-US"/>
        </w:rPr>
        <w:t xml:space="preserve">6 </w:t>
      </w:r>
      <w:r>
        <w:rPr>
          <w:rStyle w:val="CharStyle14"/>
        </w:rPr>
        <w:t xml:space="preserve">статьи </w:t>
      </w:r>
      <w:r>
        <w:rPr>
          <w:rStyle w:val="CharStyle14"/>
          <w:lang w:val="en-US" w:eastAsia="en-US"/>
        </w:rPr>
        <w:t xml:space="preserve">23 </w:t>
      </w:r>
      <w:r>
        <w:rPr>
          <w:rStyle w:val="CharStyle14"/>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 xml:space="preserve">Правила формирования) и Правила использования каталога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 xml:space="preserve">Правила использования) утверждены постановлением Правительства РФ от </w:t>
      </w:r>
      <w:r>
        <w:rPr>
          <w:rStyle w:val="CharStyle14"/>
          <w:lang w:val="en-US" w:eastAsia="en-US"/>
        </w:rPr>
        <w:t>08.02.2017 №145.</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Пункт </w:t>
      </w:r>
      <w:r>
        <w:rPr>
          <w:rStyle w:val="CharStyle14"/>
          <w:lang w:val="en-US" w:eastAsia="en-US"/>
        </w:rPr>
        <w:t xml:space="preserve">4 </w:t>
      </w:r>
      <w:r>
        <w:rPr>
          <w:rStyle w:val="CharStyle14"/>
        </w:rPr>
        <w:t xml:space="preserve">Правил закрепляет, что заказчики обязаны применять информацию, включенную в позицию каталога в соответствии с подпунктами «б» </w:t>
      </w:r>
      <w:r>
        <w:rPr>
          <w:rStyle w:val="CharStyle14"/>
          <w:lang w:val="en-US" w:eastAsia="en-US"/>
        </w:rPr>
        <w:t xml:space="preserve">- </w:t>
      </w:r>
      <w:r>
        <w:rPr>
          <w:rStyle w:val="CharStyle14"/>
        </w:rPr>
        <w:t xml:space="preserve">«и» пункта </w:t>
      </w:r>
      <w:r>
        <w:rPr>
          <w:rStyle w:val="CharStyle14"/>
          <w:lang w:val="en-US" w:eastAsia="en-US"/>
        </w:rPr>
        <w:t xml:space="preserve">10 </w:t>
      </w:r>
      <w:r>
        <w:rPr>
          <w:rStyle w:val="CharStyle14"/>
        </w:rPr>
        <w:t xml:space="preserve">Правил, утвержденных постановлением Правительства Российской Федерации от </w:t>
      </w:r>
      <w:r>
        <w:rPr>
          <w:rStyle w:val="CharStyle14"/>
          <w:lang w:val="en-US" w:eastAsia="en-US"/>
        </w:rPr>
        <w:t xml:space="preserve">08.02.2017 №145, </w:t>
      </w:r>
      <w:r>
        <w:rPr>
          <w:rStyle w:val="CharStyle14"/>
        </w:rPr>
        <w:t>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13"/>
        <w:keepNext w:val="0"/>
        <w:keepLines w:val="0"/>
        <w:widowControl w:val="0"/>
        <w:numPr>
          <w:ilvl w:val="0"/>
          <w:numId w:val="11"/>
        </w:numPr>
        <w:shd w:val="clear" w:color="auto" w:fill="auto"/>
        <w:tabs>
          <w:tab w:pos="1057" w:val="left"/>
        </w:tabs>
        <w:bidi w:val="0"/>
        <w:spacing w:before="0" w:after="0" w:line="240" w:lineRule="auto"/>
        <w:ind w:left="0" w:right="0" w:firstLine="720"/>
        <w:jc w:val="both"/>
      </w:pPr>
      <w:r>
        <w:rPr>
          <w:rStyle w:val="CharStyle14"/>
        </w:rPr>
        <w:t>наименование товара, работы, услуги;</w:t>
      </w:r>
    </w:p>
    <w:p>
      <w:pPr>
        <w:pStyle w:val="Style13"/>
        <w:keepNext w:val="0"/>
        <w:keepLines w:val="0"/>
        <w:widowControl w:val="0"/>
        <w:numPr>
          <w:ilvl w:val="0"/>
          <w:numId w:val="11"/>
        </w:numPr>
        <w:shd w:val="clear" w:color="auto" w:fill="auto"/>
        <w:tabs>
          <w:tab w:pos="1088" w:val="left"/>
        </w:tabs>
        <w:bidi w:val="0"/>
        <w:spacing w:before="0" w:after="0" w:line="240" w:lineRule="auto"/>
        <w:ind w:left="0" w:right="0" w:firstLine="720"/>
        <w:jc w:val="both"/>
      </w:pPr>
      <w:r>
        <w:rPr>
          <w:rStyle w:val="CharStyle14"/>
        </w:rPr>
        <w:t>единицы измерения количества товара, объема выполняемой работы, оказываемой услуги (при наличии);</w:t>
      </w:r>
    </w:p>
    <w:p>
      <w:pPr>
        <w:pStyle w:val="Style13"/>
        <w:keepNext w:val="0"/>
        <w:keepLines w:val="0"/>
        <w:widowControl w:val="0"/>
        <w:numPr>
          <w:ilvl w:val="0"/>
          <w:numId w:val="11"/>
        </w:numPr>
        <w:shd w:val="clear" w:color="auto" w:fill="auto"/>
        <w:tabs>
          <w:tab w:pos="1066" w:val="left"/>
        </w:tabs>
        <w:bidi w:val="0"/>
        <w:spacing w:before="0" w:after="0" w:line="240" w:lineRule="auto"/>
        <w:ind w:left="0" w:right="0" w:firstLine="720"/>
        <w:jc w:val="both"/>
      </w:pPr>
      <w:r>
        <w:rPr>
          <w:rStyle w:val="CharStyle14"/>
        </w:rPr>
        <w:t>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Пунктом </w:t>
      </w:r>
      <w:r>
        <w:rPr>
          <w:rStyle w:val="CharStyle14"/>
          <w:lang w:val="en-US" w:eastAsia="en-US"/>
        </w:rPr>
        <w:t xml:space="preserve">5 </w:t>
      </w:r>
      <w:r>
        <w:rPr>
          <w:rStyle w:val="CharStyle14"/>
        </w:rPr>
        <w:t xml:space="preserve">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w:t>
      </w:r>
      <w:r>
        <w:rPr>
          <w:rStyle w:val="CharStyle14"/>
          <w:lang w:val="en-US" w:eastAsia="en-US"/>
        </w:rPr>
        <w:t xml:space="preserve">33 </w:t>
      </w:r>
      <w:r>
        <w:rPr>
          <w:rStyle w:val="CharStyle14"/>
        </w:rPr>
        <w:t>Закона о контрактной системе, которые не предусмотрены в позиции каталога, за исключением случаев:</w:t>
      </w:r>
    </w:p>
    <w:p>
      <w:pPr>
        <w:pStyle w:val="Style13"/>
        <w:keepNext w:val="0"/>
        <w:keepLines w:val="0"/>
        <w:widowControl w:val="0"/>
        <w:numPr>
          <w:ilvl w:val="0"/>
          <w:numId w:val="13"/>
        </w:numPr>
        <w:shd w:val="clear" w:color="auto" w:fill="auto"/>
        <w:tabs>
          <w:tab w:pos="1088" w:val="left"/>
        </w:tabs>
        <w:bidi w:val="0"/>
        <w:spacing w:before="0" w:after="0" w:line="240" w:lineRule="auto"/>
        <w:ind w:left="0" w:right="0" w:firstLine="720"/>
        <w:jc w:val="both"/>
      </w:pPr>
      <w:r>
        <w:rPr>
          <w:rStyle w:val="CharStyle14"/>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4"/>
          <w:lang w:val="en-US" w:eastAsia="en-US"/>
        </w:rPr>
        <w:t xml:space="preserve">25, 26 </w:t>
      </w:r>
      <w:r>
        <w:rPr>
          <w:rStyle w:val="CharStyle14"/>
        </w:rPr>
        <w:t xml:space="preserve">и </w:t>
      </w:r>
      <w:r>
        <w:rPr>
          <w:rStyle w:val="CharStyle14"/>
          <w:lang w:val="en-US" w:eastAsia="en-US"/>
        </w:rPr>
        <w:t xml:space="preserve">32 </w:t>
      </w:r>
      <w:r>
        <w:rPr>
          <w:rStyle w:val="CharStyle14"/>
        </w:rPr>
        <w:t xml:space="preserve">приложения </w:t>
      </w:r>
      <w:r>
        <w:rPr>
          <w:rStyle w:val="CharStyle14"/>
          <w:lang w:val="en-US" w:eastAsia="en-US"/>
        </w:rPr>
        <w:t xml:space="preserve">№1 </w:t>
      </w:r>
      <w:r>
        <w:rPr>
          <w:rStyle w:val="CharStyle14"/>
        </w:rPr>
        <w:t xml:space="preserve">к постановлению Правительства Российской Федерации от </w:t>
      </w:r>
      <w:r>
        <w:rPr>
          <w:rStyle w:val="CharStyle14"/>
          <w:lang w:val="en-US" w:eastAsia="en-US"/>
        </w:rPr>
        <w:t xml:space="preserve">23 </w:t>
      </w:r>
      <w:r>
        <w:rPr>
          <w:rStyle w:val="CharStyle14"/>
        </w:rPr>
        <w:t xml:space="preserve">декабря </w:t>
      </w:r>
      <w:r>
        <w:rPr>
          <w:rStyle w:val="CharStyle14"/>
          <w:lang w:val="en-US" w:eastAsia="en-US"/>
        </w:rPr>
        <w:t xml:space="preserve">2024 </w:t>
      </w:r>
      <w:r>
        <w:rPr>
          <w:rStyle w:val="CharStyle14"/>
        </w:rPr>
        <w:t xml:space="preserve">г. </w:t>
      </w:r>
      <w:r>
        <w:rPr>
          <w:rStyle w:val="CharStyle14"/>
          <w:lang w:val="en-US" w:eastAsia="en-US"/>
        </w:rPr>
        <w:t xml:space="preserve">№1875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4"/>
          <w:lang w:val="en-US" w:eastAsia="en-US"/>
        </w:rPr>
        <w:t xml:space="preserve">– </w:t>
      </w:r>
      <w:r>
        <w:rPr>
          <w:rStyle w:val="CharStyle14"/>
        </w:rPr>
        <w:t xml:space="preserve">Постановление </w:t>
      </w:r>
      <w:r>
        <w:rPr>
          <w:rStyle w:val="CharStyle14"/>
          <w:lang w:val="en-US" w:eastAsia="en-US"/>
        </w:rPr>
        <w:t xml:space="preserve">№1875), </w:t>
      </w:r>
      <w:r>
        <w:rPr>
          <w:rStyle w:val="CharStyle14"/>
        </w:rPr>
        <w:t xml:space="preserve">позициях </w:t>
      </w:r>
      <w:r>
        <w:rPr>
          <w:rStyle w:val="CharStyle14"/>
          <w:lang w:val="en-US" w:eastAsia="en-US"/>
        </w:rPr>
        <w:t xml:space="preserve">191 - 361 </w:t>
      </w:r>
      <w:r>
        <w:rPr>
          <w:rStyle w:val="CharStyle14"/>
        </w:rPr>
        <w:t xml:space="preserve">приложения </w:t>
      </w:r>
      <w:r>
        <w:rPr>
          <w:rStyle w:val="CharStyle14"/>
          <w:lang w:val="en-US" w:eastAsia="en-US"/>
        </w:rPr>
        <w:t xml:space="preserve">№2 </w:t>
      </w:r>
      <w:r>
        <w:rPr>
          <w:rStyle w:val="CharStyle14"/>
        </w:rPr>
        <w:t xml:space="preserve">к Постановлению </w:t>
      </w:r>
      <w:r>
        <w:rPr>
          <w:rStyle w:val="CharStyle14"/>
          <w:lang w:val="en-US" w:eastAsia="en-US"/>
        </w:rPr>
        <w:t xml:space="preserve">№1875, </w:t>
      </w:r>
      <w:r>
        <w:rPr>
          <w:rStyle w:val="CharStyle14"/>
        </w:rPr>
        <w:t xml:space="preserve">применяются предусмотренные п. </w:t>
      </w:r>
      <w:r>
        <w:rPr>
          <w:rStyle w:val="CharStyle14"/>
          <w:lang w:val="en-US" w:eastAsia="en-US"/>
        </w:rPr>
        <w:t xml:space="preserve">1 </w:t>
      </w:r>
      <w:r>
        <w:rPr>
          <w:rStyle w:val="CharStyle14"/>
        </w:rPr>
        <w:t xml:space="preserve">Постановления </w:t>
      </w:r>
      <w:r>
        <w:rPr>
          <w:rStyle w:val="CharStyle14"/>
          <w:lang w:val="en-US" w:eastAsia="en-US"/>
        </w:rPr>
        <w:t xml:space="preserve">№1875 </w:t>
      </w:r>
      <w:r>
        <w:rPr>
          <w:rStyle w:val="CharStyle14"/>
        </w:rPr>
        <w:t>запрет, ограничение соответственно;</w:t>
      </w:r>
    </w:p>
    <w:p>
      <w:pPr>
        <w:pStyle w:val="Style13"/>
        <w:keepNext w:val="0"/>
        <w:keepLines w:val="0"/>
        <w:widowControl w:val="0"/>
        <w:numPr>
          <w:ilvl w:val="0"/>
          <w:numId w:val="13"/>
        </w:numPr>
        <w:shd w:val="clear" w:color="auto" w:fill="auto"/>
        <w:tabs>
          <w:tab w:pos="1088" w:val="left"/>
        </w:tabs>
        <w:bidi w:val="0"/>
        <w:spacing w:before="0" w:after="0" w:line="240" w:lineRule="auto"/>
        <w:ind w:left="0" w:right="0" w:firstLine="720"/>
        <w:jc w:val="both"/>
      </w:pPr>
      <w:r>
        <w:rPr>
          <w:rStyle w:val="CharStyle14"/>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w:t>
      </w:r>
      <w:r>
        <w:rPr>
          <w:rStyle w:val="CharStyle14"/>
          <w:lang w:val="en-US" w:eastAsia="en-US"/>
        </w:rPr>
        <w:t xml:space="preserve">5 </w:t>
      </w:r>
      <w:r>
        <w:rPr>
          <w:rStyle w:val="CharStyle14"/>
        </w:rPr>
        <w:t xml:space="preserve">ст.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Комиссией Томского УФАС России установлено, что описание объекта закупки сформировано в соответствии с характеристиками товара, работы, услуги, предусмотренными указанной позицией КТРУ, и не содержит в своем составе дополнительной информации, а также дополнительных потребительских свойств. Кроме того, Заказчиком закупается один товар, к которому применена позиция КТРУ, и установлен один код ОКПД2.</w:t>
      </w:r>
    </w:p>
    <w:p>
      <w:pPr>
        <w:pStyle w:val="Style13"/>
        <w:keepNext w:val="0"/>
        <w:keepLines w:val="0"/>
        <w:widowControl w:val="0"/>
        <w:shd w:val="clear" w:color="auto" w:fill="auto"/>
        <w:bidi w:val="0"/>
        <w:spacing w:before="0" w:after="0" w:line="240" w:lineRule="auto"/>
        <w:ind w:left="0" w:right="0" w:firstLine="720"/>
        <w:jc w:val="both"/>
      </w:pPr>
      <w:r>
        <w:rPr>
          <w:rStyle w:val="CharStyle14"/>
        </w:rPr>
        <w:t>Таким образом, Заказчик сформировал описание объекта закупки с надлежащим применением положений Правил и требований действующего законодательства.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Заявитель в жалобе указывает на то, что Заказчиком при составлении описания объекта закупки требования технического задания составлены таким образом, что нельзя определить соответствующее оборудование, а именно:</w:t>
      </w:r>
    </w:p>
    <w:p>
      <w:pPr>
        <w:pStyle w:val="Style13"/>
        <w:keepNext w:val="0"/>
        <w:keepLines w:val="0"/>
        <w:widowControl w:val="0"/>
        <w:numPr>
          <w:ilvl w:val="0"/>
          <w:numId w:val="15"/>
        </w:numPr>
        <w:shd w:val="clear" w:color="auto" w:fill="auto"/>
        <w:tabs>
          <w:tab w:pos="971" w:val="left"/>
        </w:tabs>
        <w:bidi w:val="0"/>
        <w:spacing w:before="0" w:after="0" w:line="240" w:lineRule="auto"/>
        <w:ind w:left="0" w:right="0" w:firstLine="720"/>
        <w:jc w:val="both"/>
      </w:pPr>
      <w:r>
        <w:rPr>
          <w:rStyle w:val="CharStyle14"/>
        </w:rPr>
        <w:t xml:space="preserve">Чувствительность </w:t>
      </w:r>
      <w:r>
        <w:rPr>
          <w:rStyle w:val="CharStyle14"/>
          <w:lang w:val="en-US" w:eastAsia="en-US"/>
        </w:rPr>
        <w:t xml:space="preserve">≥ 95 </w:t>
      </w:r>
      <w:r>
        <w:rPr>
          <w:rStyle w:val="CharStyle14"/>
        </w:rPr>
        <w:t>Децибел;</w:t>
      </w:r>
    </w:p>
    <w:p>
      <w:pPr>
        <w:pStyle w:val="Style13"/>
        <w:keepNext w:val="0"/>
        <w:keepLines w:val="0"/>
        <w:widowControl w:val="0"/>
        <w:numPr>
          <w:ilvl w:val="0"/>
          <w:numId w:val="15"/>
        </w:numPr>
        <w:shd w:val="clear" w:color="auto" w:fill="auto"/>
        <w:tabs>
          <w:tab w:pos="971" w:val="left"/>
        </w:tabs>
        <w:bidi w:val="0"/>
        <w:spacing w:before="0" w:after="0" w:line="240" w:lineRule="auto"/>
        <w:ind w:left="0" w:right="0" w:firstLine="720"/>
        <w:jc w:val="both"/>
      </w:pPr>
      <w:r>
        <w:rPr>
          <w:rStyle w:val="CharStyle14"/>
        </w:rPr>
        <w:t xml:space="preserve">Номинальная мощность </w:t>
      </w:r>
      <w:r>
        <w:rPr>
          <w:rStyle w:val="CharStyle14"/>
          <w:lang w:val="en-US" w:eastAsia="en-US"/>
        </w:rPr>
        <w:t xml:space="preserve">≥ 600 </w:t>
      </w:r>
      <w:r>
        <w:rPr>
          <w:rStyle w:val="CharStyle14"/>
        </w:rPr>
        <w:t>Ватт.</w:t>
      </w:r>
    </w:p>
    <w:p>
      <w:pPr>
        <w:pStyle w:val="Style13"/>
        <w:keepNext w:val="0"/>
        <w:keepLines w:val="0"/>
        <w:widowControl w:val="0"/>
        <w:shd w:val="clear" w:color="auto" w:fill="auto"/>
        <w:bidi w:val="0"/>
        <w:spacing w:before="0" w:after="0" w:line="240" w:lineRule="auto"/>
        <w:ind w:left="0" w:right="0" w:firstLine="720"/>
        <w:jc w:val="both"/>
      </w:pPr>
      <w:r>
        <w:rPr>
          <w:rStyle w:val="CharStyle14"/>
        </w:rPr>
        <w:t>Указанные условия не соответствуют ни одной из моделей, которые находятся в ценовом сегменте, имеют паспорт изделия и отвечают остальным требованиям технического задания.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Заказчиком представлена информация о том, что под описание объекта закупки подходят следующие товары:</w:t>
      </w:r>
    </w:p>
    <w:p>
      <w:pPr>
        <w:pStyle w:val="Style13"/>
        <w:keepNext w:val="0"/>
        <w:keepLines w:val="0"/>
        <w:widowControl w:val="0"/>
        <w:numPr>
          <w:ilvl w:val="0"/>
          <w:numId w:val="15"/>
        </w:numPr>
        <w:shd w:val="clear" w:color="auto" w:fill="auto"/>
        <w:tabs>
          <w:tab w:pos="1003" w:val="left"/>
        </w:tabs>
        <w:bidi w:val="0"/>
        <w:spacing w:before="0" w:after="0" w:line="240" w:lineRule="auto"/>
        <w:ind w:left="0" w:right="0" w:firstLine="720"/>
        <w:jc w:val="both"/>
      </w:pPr>
      <w:r>
        <w:rPr>
          <w:rStyle w:val="CharStyle14"/>
        </w:rPr>
        <w:t xml:space="preserve">пассивная акустическая система </w:t>
      </w:r>
      <w:r>
        <w:rPr>
          <w:rStyle w:val="CharStyle14"/>
          <w:lang w:val="en-US" w:eastAsia="en-US"/>
        </w:rPr>
        <w:t xml:space="preserve">EUROSOUND BBR-215R </w:t>
      </w:r>
      <w:r>
        <w:rPr>
          <w:rStyle w:val="CharStyle14"/>
        </w:rPr>
        <w:t xml:space="preserve">(реестровый номер </w:t>
      </w:r>
      <w:r>
        <w:rPr>
          <w:rStyle w:val="CharStyle14"/>
          <w:lang w:val="en-US" w:eastAsia="en-US"/>
        </w:rPr>
        <w:t>№10670091);</w:t>
      </w:r>
    </w:p>
    <w:p>
      <w:pPr>
        <w:pStyle w:val="Style13"/>
        <w:keepNext w:val="0"/>
        <w:keepLines w:val="0"/>
        <w:widowControl w:val="0"/>
        <w:numPr>
          <w:ilvl w:val="0"/>
          <w:numId w:val="15"/>
        </w:numPr>
        <w:shd w:val="clear" w:color="auto" w:fill="auto"/>
        <w:tabs>
          <w:tab w:pos="971" w:val="left"/>
        </w:tabs>
        <w:bidi w:val="0"/>
        <w:spacing w:before="0" w:after="0" w:line="240" w:lineRule="auto"/>
        <w:ind w:left="0" w:right="0" w:firstLine="720"/>
        <w:jc w:val="both"/>
      </w:pPr>
      <w:r>
        <w:rPr>
          <w:rStyle w:val="CharStyle14"/>
        </w:rPr>
        <w:t xml:space="preserve">пассивная акустическая система </w:t>
      </w:r>
      <w:r>
        <w:rPr>
          <w:rStyle w:val="CharStyle14"/>
          <w:lang w:val="en-US" w:eastAsia="en-US"/>
        </w:rPr>
        <w:t>JBL SRX 815;</w:t>
      </w:r>
    </w:p>
    <w:p>
      <w:pPr>
        <w:pStyle w:val="Style13"/>
        <w:keepNext w:val="0"/>
        <w:keepLines w:val="0"/>
        <w:widowControl w:val="0"/>
        <w:numPr>
          <w:ilvl w:val="0"/>
          <w:numId w:val="15"/>
        </w:numPr>
        <w:shd w:val="clear" w:color="auto" w:fill="auto"/>
        <w:tabs>
          <w:tab w:pos="971" w:val="left"/>
        </w:tabs>
        <w:bidi w:val="0"/>
        <w:spacing w:before="0" w:after="0" w:line="240" w:lineRule="auto"/>
        <w:ind w:left="0" w:right="0" w:firstLine="720"/>
        <w:jc w:val="both"/>
      </w:pPr>
      <w:r>
        <w:rPr>
          <w:rStyle w:val="CharStyle14"/>
        </w:rPr>
        <w:t xml:space="preserve">пассивная акустическая система </w:t>
      </w:r>
      <w:r>
        <w:rPr>
          <w:rStyle w:val="CharStyle14"/>
          <w:lang w:val="en-US" w:eastAsia="en-US"/>
        </w:rPr>
        <w:t>Yamaha CZR15;</w:t>
      </w:r>
    </w:p>
    <w:p>
      <w:pPr>
        <w:pStyle w:val="Style13"/>
        <w:keepNext w:val="0"/>
        <w:keepLines w:val="0"/>
        <w:widowControl w:val="0"/>
        <w:numPr>
          <w:ilvl w:val="0"/>
          <w:numId w:val="15"/>
        </w:numPr>
        <w:shd w:val="clear" w:color="auto" w:fill="auto"/>
        <w:tabs>
          <w:tab w:pos="971" w:val="left"/>
        </w:tabs>
        <w:bidi w:val="0"/>
        <w:spacing w:before="0" w:after="0" w:line="240" w:lineRule="auto"/>
        <w:ind w:left="0" w:right="0" w:firstLine="720"/>
        <w:jc w:val="both"/>
      </w:pPr>
      <w:r>
        <w:rPr>
          <w:rStyle w:val="CharStyle14"/>
        </w:rPr>
        <w:t xml:space="preserve">пассивная акустическая система </w:t>
      </w:r>
      <w:r>
        <w:rPr>
          <w:rStyle w:val="CharStyle14"/>
          <w:lang w:val="en-US" w:eastAsia="en-US"/>
        </w:rPr>
        <w:t>Electro-Voice ZLX-15;</w:t>
      </w:r>
    </w:p>
    <w:p>
      <w:pPr>
        <w:pStyle w:val="Style13"/>
        <w:keepNext w:val="0"/>
        <w:keepLines w:val="0"/>
        <w:widowControl w:val="0"/>
        <w:numPr>
          <w:ilvl w:val="0"/>
          <w:numId w:val="15"/>
        </w:numPr>
        <w:shd w:val="clear" w:color="auto" w:fill="auto"/>
        <w:tabs>
          <w:tab w:pos="971" w:val="left"/>
        </w:tabs>
        <w:bidi w:val="0"/>
        <w:spacing w:before="0" w:after="0" w:line="240" w:lineRule="auto"/>
        <w:ind w:left="0" w:right="0" w:firstLine="720"/>
        <w:jc w:val="both"/>
      </w:pPr>
      <w:r>
        <w:rPr>
          <w:rStyle w:val="CharStyle14"/>
        </w:rPr>
        <w:t xml:space="preserve">пассивная акустическая система </w:t>
      </w:r>
      <w:r>
        <w:rPr>
          <w:rStyle w:val="CharStyle14"/>
          <w:lang w:val="en-US" w:eastAsia="en-US"/>
        </w:rPr>
        <w:t>Turbosound M15;</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Таким образом, под характеристики товара, установленным Заказчиком в извещении о проведении закупки, соответствуют товары нескольких производителей, что говорит об отсутствии ограничения конкуренции на участие в закупке. Кроме этого, во исполнение требования ч.1.1 ст.33 Закона о контрактной системе, Заказчиком описан товар по характеристикам товара российского происхождения «пассивная акустическая система </w:t>
      </w:r>
      <w:r>
        <w:rPr>
          <w:rStyle w:val="CharStyle14"/>
          <w:lang w:val="en-US" w:eastAsia="en-US"/>
        </w:rPr>
        <w:t xml:space="preserve">EUROSOUND BBR-215R </w:t>
      </w:r>
      <w:r>
        <w:rPr>
          <w:rStyle w:val="CharStyle14"/>
        </w:rPr>
        <w:t xml:space="preserve">(реестровый номер </w:t>
      </w:r>
      <w:r>
        <w:rPr>
          <w:rStyle w:val="CharStyle14"/>
          <w:lang w:val="en-US" w:eastAsia="en-US"/>
        </w:rPr>
        <w:t xml:space="preserve">№10670091)», </w:t>
      </w:r>
      <w:r>
        <w:rPr>
          <w:rStyle w:val="CharStyle14"/>
        </w:rPr>
        <w:t>что также подтверждается представленными коммерческими предложениями.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Кроме того, в описание объекта закупки Заказчика приведены функциональные, технические и качественные характеристики товара, работы, услуги, эксплуатационные характеристики товара, результата работ, услуг (при необходимости), используемые для определения соответствия потребностям заказчика или эквивалентности предлагаемого к поставке или к использованию при выполнении работ, оказании услуг товара максимальные и (или) минимальные значения показателей товара и показатели, значения которых не могут изменяться.</w:t>
      </w:r>
    </w:p>
    <w:p>
      <w:pPr>
        <w:pStyle w:val="Style13"/>
        <w:keepNext w:val="0"/>
        <w:keepLines w:val="0"/>
        <w:widowControl w:val="0"/>
        <w:shd w:val="clear" w:color="auto" w:fill="auto"/>
        <w:bidi w:val="0"/>
        <w:spacing w:before="0" w:after="320" w:line="240" w:lineRule="auto"/>
        <w:ind w:left="0" w:right="0" w:firstLine="720"/>
        <w:jc w:val="both"/>
      </w:pPr>
      <w:r>
        <w:rPr>
          <w:rStyle w:val="CharStyle14"/>
        </w:rPr>
        <w:t>Описание объекта закупки не содержит указания на конкретный товарный знак или производителя конкретного музыкального центра, и в целом не может быть поставлено в условие раздела рынка музыкального оборудования различными хозяйствующими субъектами и рассчитано на конкурентный способ определения поставщика, где на условиях соблюдения принципа добросовестной ценовой и неценовой конкуренции каждый участник закупки, предложивший лучшие условия поставки товаров, выполнения работ, оказания услуг, может стать победителем.</w:t>
      </w:r>
    </w:p>
    <w:p>
      <w:pPr>
        <w:pStyle w:val="Style13"/>
        <w:keepNext w:val="0"/>
        <w:keepLines w:val="0"/>
        <w:widowControl w:val="0"/>
        <w:shd w:val="clear" w:color="auto" w:fill="auto"/>
        <w:bidi w:val="0"/>
        <w:spacing w:before="0" w:after="160" w:line="240" w:lineRule="auto"/>
        <w:ind w:left="0" w:right="0" w:firstLine="720"/>
        <w:jc w:val="both"/>
        <w:sectPr>
          <w:headerReference w:type="default" r:id="rId15"/>
          <w:footerReference w:type="default" r:id="rId16"/>
          <w:footnotePr>
            <w:pos w:val="pageBottom"/>
            <w:numFmt w:val="decimal"/>
            <w:numRestart w:val="continuous"/>
          </w:footnotePr>
          <w:pgSz w:w="11900" w:h="16840"/>
          <w:pgMar w:top="1695" w:right="533" w:bottom="1268" w:left="1099" w:header="0" w:footer="3" w:gutter="0"/>
          <w:cols w:space="720"/>
          <w:noEndnote/>
          <w:rtlGutter w:val="0"/>
          <w:docGrid w:linePitch="360"/>
        </w:sectPr>
      </w:pPr>
      <w:r>
        <w:rPr>
          <w:rStyle w:val="CharStyle14"/>
        </w:rPr>
        <w:t>Все указанные функциональные характеристики установлены в соответствии с</w:t>
      </w:r>
    </w:p>
    <w:p>
      <w:pPr>
        <w:pStyle w:val="Style13"/>
        <w:keepNext w:val="0"/>
        <w:keepLines w:val="0"/>
        <w:widowControl w:val="0"/>
        <w:shd w:val="clear" w:color="auto" w:fill="auto"/>
        <w:bidi w:val="0"/>
        <w:spacing w:before="0" w:after="0" w:line="240" w:lineRule="auto"/>
        <w:ind w:left="0" w:right="0" w:firstLine="0"/>
        <w:jc w:val="both"/>
      </w:pPr>
      <w:r>
        <w:rPr>
          <w:rStyle w:val="CharStyle14"/>
        </w:rPr>
        <w:t>потребностями Заказчика и необходимы для целей осуществления образовательного процесса в общеобразовательных учреждениях.</w:t>
      </w:r>
    </w:p>
    <w:p>
      <w:pPr>
        <w:pStyle w:val="Style13"/>
        <w:keepNext w:val="0"/>
        <w:keepLines w:val="0"/>
        <w:widowControl w:val="0"/>
        <w:shd w:val="clear" w:color="auto" w:fill="auto"/>
        <w:bidi w:val="0"/>
        <w:spacing w:before="0" w:after="0" w:line="240" w:lineRule="auto"/>
        <w:ind w:left="0" w:right="0" w:firstLine="720"/>
        <w:jc w:val="both"/>
      </w:pPr>
      <w:r>
        <w:rPr>
          <w:rStyle w:val="CharStyle14"/>
        </w:rPr>
        <w:t>Томское УФАС обращает внимание, что в рассматриваемом случае предметом закупки является право на заключение контракта на поставку товара, а не на изготовление предмета закупки, поэтому участником закупки может выступать любое юридическое, физическое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и удовлетворяющий потребностям заказчика.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Следовательно, любой участник электронного аукциона имеет возможность приобрести товар с необходимыми заказчику свойствами у производителя и предложить его к поставке в рамках данного аукциона (поставщик-посредник, дистрибьютор, производитель). Отсутствие у каких-либо лиц, заинтересованных в заключении государственного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числа участников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Помимо изложенного, следует отметить, что законодательство о контрактной системе позволяет Заказчику, руководствуясь своими потребностями, самостоятельно определять предмет закупки, его количественные и качественные характеристики, в необходимой степени детализировать его.</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При формировании объекта закупки Заказчик не обязан доказывать свою потребность в закупаемом товаре, а участники закупки не вправе в той или иной форме воздействовать на потребность заказчика, как и не вправе определять и государственные нужды.</w:t>
      </w:r>
    </w:p>
    <w:p>
      <w:pPr>
        <w:pStyle w:val="Style13"/>
        <w:keepNext w:val="0"/>
        <w:keepLines w:val="0"/>
        <w:widowControl w:val="0"/>
        <w:shd w:val="clear" w:color="auto" w:fill="auto"/>
        <w:bidi w:val="0"/>
        <w:spacing w:before="0" w:after="0" w:line="240" w:lineRule="auto"/>
        <w:ind w:left="0" w:right="0" w:firstLine="720"/>
        <w:jc w:val="both"/>
      </w:pPr>
      <w:r>
        <w:rPr>
          <w:rStyle w:val="CharStyle14"/>
        </w:rPr>
        <w:t>Также Закон о контрактной системе не обязывает Заказчика при определении характеристик поставляемого товара устанавливать такие характеристики объекта закупки, которые соответствовали бы всем существующим потенциальным участникам закупки, не предусматривает ограничения по включению в Извещение требований к объекту закупки, являющемуся значимым для Заказчика, равно как и не предусматривает обязанность Заказчика в Извещении обосновывать свои потребности и причины при установлении требований к товарам и их характеристикам. Выбор показателей и характеристик объекта закупки остается за Заказчиком.</w:t>
      </w:r>
    </w:p>
    <w:p>
      <w:pPr>
        <w:pStyle w:val="Style13"/>
        <w:keepNext w:val="0"/>
        <w:keepLines w:val="0"/>
        <w:widowControl w:val="0"/>
        <w:shd w:val="clear" w:color="auto" w:fill="auto"/>
        <w:bidi w:val="0"/>
        <w:spacing w:before="0" w:after="320" w:line="240" w:lineRule="auto"/>
        <w:ind w:left="0" w:right="0" w:firstLine="720"/>
        <w:jc w:val="both"/>
      </w:pPr>
      <w:r>
        <w:rPr>
          <w:rStyle w:val="CharStyle14"/>
        </w:rPr>
        <w:t xml:space="preserve">Аналогичная позиция подтверждена Обзором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w:t>
      </w:r>
      <w:r>
        <w:rPr>
          <w:rStyle w:val="CharStyle14"/>
          <w:lang w:val="en-US" w:eastAsia="en-US"/>
        </w:rPr>
        <w:t xml:space="preserve">28.06.2017 </w:t>
      </w:r>
      <w:r>
        <w:rPr>
          <w:rStyle w:val="CharStyle14"/>
        </w:rPr>
        <w:t>«По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3"/>
        <w:keepNext w:val="0"/>
        <w:keepLines w:val="0"/>
        <w:widowControl w:val="0"/>
        <w:shd w:val="clear" w:color="auto" w:fill="auto"/>
        <w:bidi w:val="0"/>
        <w:spacing w:before="0" w:after="0" w:line="360" w:lineRule="auto"/>
        <w:ind w:left="0" w:right="0" w:firstLine="720"/>
        <w:jc w:val="both"/>
        <w:rPr>
          <w:sz w:val="24"/>
          <w:szCs w:val="24"/>
        </w:rPr>
      </w:pPr>
      <w:r>
        <w:rPr>
          <w:rStyle w:val="CharStyle14"/>
        </w:rPr>
        <w:t xml:space="preserve">В соответствии со статьей </w:t>
      </w:r>
      <w:r>
        <w:rPr>
          <w:rStyle w:val="CharStyle14"/>
          <w:lang w:val="en-US" w:eastAsia="en-US"/>
        </w:rPr>
        <w:t xml:space="preserve">506 </w:t>
      </w:r>
      <w:r>
        <w:rPr>
          <w:rStyle w:val="CharStyle14"/>
        </w:rPr>
        <w:t xml:space="preserve">Гражданского кодекса РФ, в качестве </w:t>
      </w:r>
      <w:r>
        <w:rPr>
          <w:rStyle w:val="CharStyle14"/>
          <w:sz w:val="24"/>
          <w:szCs w:val="24"/>
          <w:lang w:val="en-US" w:eastAsia="en-US"/>
        </w:rPr>
        <w:t>2026-3096</w:t>
      </w:r>
    </w:p>
    <w:p>
      <w:pPr>
        <w:pStyle w:val="Style13"/>
        <w:keepNext w:val="0"/>
        <w:keepLines w:val="0"/>
        <w:widowControl w:val="0"/>
        <w:shd w:val="clear" w:color="auto" w:fill="auto"/>
        <w:bidi w:val="0"/>
        <w:spacing w:before="0" w:after="0" w:line="240" w:lineRule="auto"/>
        <w:ind w:left="0" w:right="0" w:firstLine="0"/>
        <w:jc w:val="both"/>
      </w:pPr>
      <w:r>
        <w:rPr>
          <w:rStyle w:val="CharStyle14"/>
        </w:rPr>
        <w:t>поставщика по договору поставки может выступать как непосредственно сам производитель, так и иное лицо, закупающее товары для дальнейшей передачи.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Следовательно, любой участник электронного аукциона имеет возможность приобрести товар с необходимыми Заказчику свойствами у производителя и предложить его к поставке в рамках данного электронного аукциона (поставщик- посредник, дистрибьютор, производитель). Отсутствие у каких-либо лиц, заинтересованных в заключении государственного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числа участников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частью </w:t>
      </w:r>
      <w:r>
        <w:rPr>
          <w:rStyle w:val="CharStyle14"/>
          <w:lang w:val="en-US" w:eastAsia="en-US"/>
        </w:rPr>
        <w:t xml:space="preserve">4 </w:t>
      </w:r>
      <w:r>
        <w:rPr>
          <w:rStyle w:val="CharStyle14"/>
        </w:rPr>
        <w:t xml:space="preserve">статьи </w:t>
      </w:r>
      <w:r>
        <w:rPr>
          <w:rStyle w:val="CharStyle14"/>
          <w:lang w:val="en-US" w:eastAsia="en-US"/>
        </w:rPr>
        <w:t xml:space="preserve">106 </w:t>
      </w:r>
      <w:r>
        <w:rPr>
          <w:rStyle w:val="CharStyle14"/>
        </w:rPr>
        <w:t>Закона о контрактной системе Заявителем не были представлены для рассмотрения жалобы по существу информация и документы, подтверждающие обоснованность доводов своей жалобы.</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 учетом изложенного, на основе всестороннего исследования, оценки фактических обстоятельств и доказательств по делу в их совокупности и взаимосвязи, Комиссия Томского УФАС России приходит к выводу о признании первого и второго довода Заявителя необоснованными, в действиях Заказчика нарушения Закона о контрактной системе не установлены.</w:t>
      </w:r>
    </w:p>
    <w:p>
      <w:pPr>
        <w:pStyle w:val="Style13"/>
        <w:keepNext w:val="0"/>
        <w:keepLines w:val="0"/>
        <w:widowControl w:val="0"/>
        <w:shd w:val="clear" w:color="auto" w:fill="auto"/>
        <w:bidi w:val="0"/>
        <w:spacing w:before="0" w:after="0" w:line="240" w:lineRule="auto"/>
        <w:ind w:left="0" w:right="0" w:firstLine="720"/>
        <w:jc w:val="both"/>
      </w:pPr>
      <w:r>
        <w:rPr>
          <w:rStyle w:val="CharStyle14"/>
        </w:rPr>
        <w:t>Относительно третьего довода Заявителя, Комиссия Томского УФАС России приходит к следующему выводу.</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w:t>
      </w:r>
      <w:r>
        <w:rPr>
          <w:rStyle w:val="CharStyle14"/>
          <w:color w:val="000080"/>
          <w:u w:val="single"/>
        </w:rPr>
        <w:t xml:space="preserve">частью </w:t>
      </w:r>
      <w:r>
        <w:rPr>
          <w:rStyle w:val="CharStyle14"/>
          <w:color w:val="000080"/>
          <w:u w:val="single"/>
          <w:lang w:val="en-US" w:eastAsia="en-US"/>
        </w:rPr>
        <w:t xml:space="preserve">5 </w:t>
      </w:r>
      <w:r>
        <w:rPr>
          <w:rStyle w:val="CharStyle14"/>
          <w:color w:val="000080"/>
          <w:u w:val="single"/>
        </w:rPr>
        <w:t xml:space="preserve">статьи </w:t>
      </w:r>
      <w:r>
        <w:rPr>
          <w:rStyle w:val="CharStyle14"/>
          <w:color w:val="000080"/>
          <w:u w:val="single"/>
          <w:lang w:val="en-US" w:eastAsia="en-US"/>
        </w:rPr>
        <w:t>42</w:t>
      </w:r>
      <w:r>
        <w:rPr>
          <w:rStyle w:val="CharStyle14"/>
          <w:color w:val="000080"/>
          <w:lang w:val="en-US" w:eastAsia="en-US"/>
        </w:rPr>
        <w:t xml:space="preserve"> </w:t>
      </w:r>
      <w:r>
        <w:rPr>
          <w:rStyle w:val="CharStyle14"/>
        </w:rPr>
        <w:t>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На заседании комиссии установлено, что Заказчиком на официальном сайте ЕИС </w:t>
      </w:r>
      <w:r>
        <w:rPr>
          <w:rStyle w:val="CharStyle14"/>
          <w:lang w:val="en-US" w:eastAsia="en-US"/>
        </w:rPr>
        <w:t xml:space="preserve">27.04.2026 </w:t>
      </w:r>
      <w:r>
        <w:rPr>
          <w:rStyle w:val="CharStyle14"/>
        </w:rPr>
        <w:t xml:space="preserve">размещены разъяснения положений извещения об осуществлении закупки от </w:t>
      </w:r>
      <w:r>
        <w:rPr>
          <w:rStyle w:val="CharStyle14"/>
          <w:lang w:val="en-US" w:eastAsia="en-US"/>
        </w:rPr>
        <w:t xml:space="preserve">27.04.2026 </w:t>
      </w:r>
      <w:r>
        <w:rPr>
          <w:rStyle w:val="CharStyle14"/>
        </w:rPr>
        <w:t>№РИ1, №РИ2 и №РИ3.</w:t>
      </w:r>
    </w:p>
    <w:p>
      <w:pPr>
        <w:pStyle w:val="Style13"/>
        <w:keepNext w:val="0"/>
        <w:keepLines w:val="0"/>
        <w:widowControl w:val="0"/>
        <w:shd w:val="clear" w:color="auto" w:fill="auto"/>
        <w:bidi w:val="0"/>
        <w:spacing w:before="0" w:after="0" w:line="271" w:lineRule="auto"/>
        <w:ind w:left="0" w:right="0" w:firstLine="720"/>
        <w:jc w:val="both"/>
        <w:rPr>
          <w:sz w:val="24"/>
          <w:szCs w:val="24"/>
        </w:rPr>
        <w:sectPr>
          <w:headerReference w:type="default" r:id="rId17"/>
          <w:footerReference w:type="default" r:id="rId18"/>
          <w:footnotePr>
            <w:pos w:val="pageBottom"/>
            <w:numFmt w:val="decimal"/>
            <w:numRestart w:val="continuous"/>
          </w:footnotePr>
          <w:pgSz w:w="11900" w:h="16840"/>
          <w:pgMar w:top="1695" w:right="535" w:bottom="697" w:left="1103" w:header="0" w:footer="269" w:gutter="0"/>
          <w:cols w:space="720"/>
          <w:noEndnote/>
          <w:rtlGutter w:val="0"/>
          <w:docGrid w:linePitch="360"/>
        </w:sectPr>
      </w:pPr>
      <w:r>
        <w:rPr>
          <w:rStyle w:val="CharStyle14"/>
        </w:rPr>
        <w:t xml:space="preserve">Изучив документы и сведения, размещенные на официальном сайте ЕИС, Комиссией Томского УФАС России установлено, что разъяснения размещены Заказчиком в регламентированные сроки и не изменяют суть извещения о проведении аукциона, а также даны ответы на все заданные вопросы, что не </w:t>
      </w:r>
      <w:r>
        <w:rPr>
          <w:rStyle w:val="CharStyle14"/>
          <w:sz w:val="24"/>
          <w:szCs w:val="24"/>
          <w:lang w:val="en-US" w:eastAsia="en-US"/>
        </w:rPr>
        <w:t>2026-3096</w:t>
      </w:r>
    </w:p>
    <w:p>
      <w:pPr>
        <w:pStyle w:val="Style13"/>
        <w:keepNext w:val="0"/>
        <w:keepLines w:val="0"/>
        <w:widowControl w:val="0"/>
        <w:shd w:val="clear" w:color="auto" w:fill="auto"/>
        <w:bidi w:val="0"/>
        <w:spacing w:before="0" w:after="0" w:line="240" w:lineRule="auto"/>
        <w:ind w:left="0" w:right="0" w:firstLine="0"/>
        <w:jc w:val="left"/>
      </w:pPr>
      <w:r>
        <w:rPr>
          <w:rStyle w:val="CharStyle14"/>
        </w:rPr>
        <w:t>противоречит требования</w:t>
      </w:r>
      <w:r>
        <w:rPr>
          <w:rStyle w:val="CharStyle14"/>
          <w:color w:val="090808"/>
        </w:rPr>
        <w:t>м Закона о к</w:t>
      </w:r>
      <w:r>
        <w:rPr>
          <w:rStyle w:val="CharStyle14"/>
        </w:rPr>
        <w:t>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Комиссия Томского УФАС России приходит к выводу, что действия Заказчика в части направления и размещения ответа на запрос разъяснений положений извещения о проведении аукциона не противоречат положениям </w:t>
      </w:r>
      <w:r>
        <w:rPr>
          <w:rStyle w:val="CharStyle14"/>
          <w:color w:val="090808"/>
        </w:rPr>
        <w:t xml:space="preserve">Закона </w:t>
      </w:r>
      <w:r>
        <w:rPr>
          <w:rStyle w:val="CharStyle14"/>
        </w:rPr>
        <w:t>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На основании изложенного, а также учитывая, что Заявителем не представлено доказательств, однозначно подтверждающих обоснованность довода, Комиссия Томского УФАС России приходит к выводу, что довод Заявителя не нашел своего подтверждения.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Следовательно, довод жалобы Заявителя является необоснованным.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Принимая во внимание вышеизложенное, и руководствуясь статьей </w:t>
      </w:r>
      <w:r>
        <w:rPr>
          <w:rStyle w:val="CharStyle14"/>
          <w:lang w:val="en-US" w:eastAsia="en-US"/>
        </w:rPr>
        <w:t xml:space="preserve">14, </w:t>
      </w:r>
      <w:r>
        <w:rPr>
          <w:rStyle w:val="CharStyle14"/>
        </w:rPr>
        <w:t xml:space="preserve">статьей </w:t>
      </w:r>
      <w:r>
        <w:rPr>
          <w:rStyle w:val="CharStyle14"/>
          <w:lang w:val="en-US" w:eastAsia="en-US"/>
        </w:rPr>
        <w:t xml:space="preserve">33, </w:t>
      </w:r>
      <w:r>
        <w:rPr>
          <w:rStyle w:val="CharStyle14"/>
        </w:rPr>
        <w:t xml:space="preserve">статьей </w:t>
      </w:r>
      <w:r>
        <w:rPr>
          <w:rStyle w:val="CharStyle14"/>
          <w:lang w:val="en-US" w:eastAsia="en-US"/>
        </w:rPr>
        <w:t xml:space="preserve">99, </w:t>
      </w:r>
      <w:r>
        <w:rPr>
          <w:rStyle w:val="CharStyle14"/>
        </w:rPr>
        <w:t xml:space="preserve">статьей </w:t>
      </w:r>
      <w:r>
        <w:rPr>
          <w:rStyle w:val="CharStyle14"/>
          <w:lang w:val="en-US" w:eastAsia="en-US"/>
        </w:rPr>
        <w:t xml:space="preserve">105, </w:t>
      </w:r>
      <w:r>
        <w:rPr>
          <w:rStyle w:val="CharStyle14"/>
        </w:rPr>
        <w:t xml:space="preserve">статьей </w:t>
      </w:r>
      <w:r>
        <w:rPr>
          <w:rStyle w:val="CharStyle14"/>
          <w:lang w:val="en-US" w:eastAsia="en-US"/>
        </w:rPr>
        <w:t xml:space="preserve">106 </w:t>
      </w:r>
      <w:r>
        <w:rPr>
          <w:rStyle w:val="CharStyle14"/>
        </w:rPr>
        <w:t>Закона 44-ФЗ, Комиссия Томского УФАС России,</w:t>
      </w:r>
    </w:p>
    <w:p>
      <w:pPr>
        <w:pStyle w:val="Style13"/>
        <w:keepNext w:val="0"/>
        <w:keepLines w:val="0"/>
        <w:widowControl w:val="0"/>
        <w:shd w:val="clear" w:color="auto" w:fill="auto"/>
        <w:bidi w:val="0"/>
        <w:spacing w:before="0" w:after="320" w:line="240" w:lineRule="auto"/>
        <w:ind w:left="0" w:right="0" w:firstLine="0"/>
        <w:jc w:val="center"/>
      </w:pPr>
      <w:r>
        <w:rPr>
          <w:rStyle w:val="CharStyle14"/>
        </w:rPr>
        <w:t>РЕШИЛА:</w:t>
      </w:r>
    </w:p>
    <w:p>
      <w:pPr>
        <w:pStyle w:val="Style13"/>
        <w:keepNext w:val="0"/>
        <w:keepLines w:val="0"/>
        <w:widowControl w:val="0"/>
        <w:numPr>
          <w:ilvl w:val="0"/>
          <w:numId w:val="17"/>
        </w:numPr>
        <w:shd w:val="clear" w:color="auto" w:fill="auto"/>
        <w:tabs>
          <w:tab w:pos="1098" w:val="left"/>
        </w:tabs>
        <w:bidi w:val="0"/>
        <w:spacing w:before="0" w:after="0" w:line="240" w:lineRule="auto"/>
        <w:ind w:left="0" w:right="0" w:firstLine="720"/>
        <w:jc w:val="both"/>
      </w:pPr>
      <w:r>
        <w:rPr>
          <w:rStyle w:val="CharStyle14"/>
        </w:rPr>
        <w:t xml:space="preserve">Признать жалобу ООО «ЗДЖ» (вх.№3546/26 от </w:t>
      </w:r>
      <w:r>
        <w:rPr>
          <w:rStyle w:val="CharStyle14"/>
          <w:lang w:val="en-US" w:eastAsia="en-US"/>
        </w:rPr>
        <w:t xml:space="preserve">04.05.2026) </w:t>
      </w:r>
      <w:r>
        <w:rPr>
          <w:rStyle w:val="CharStyle14"/>
        </w:rPr>
        <w:t xml:space="preserve">на действия Заказчика </w:t>
      </w:r>
      <w:r>
        <w:rPr>
          <w:rStyle w:val="CharStyle14"/>
          <w:lang w:val="en-US" w:eastAsia="en-US"/>
        </w:rPr>
        <w:t xml:space="preserve">- </w:t>
      </w:r>
      <w:r>
        <w:rPr>
          <w:rStyle w:val="CharStyle14"/>
        </w:rPr>
        <w:t xml:space="preserve">ФКУ Томская ВК-2 УФСИН России по Томской области при проведении электронного аукциона «Акустическая система» (извещение </w:t>
      </w:r>
      <w:r>
        <w:rPr>
          <w:rStyle w:val="CharStyle14"/>
          <w:lang w:val="en-US" w:eastAsia="en-US"/>
        </w:rPr>
        <w:t xml:space="preserve">№0365100001326000004) </w:t>
      </w:r>
      <w:r>
        <w:rPr>
          <w:rStyle w:val="CharStyle14"/>
        </w:rPr>
        <w:t>необоснованной.</w:t>
      </w:r>
    </w:p>
    <w:p>
      <w:pPr>
        <w:pStyle w:val="Style13"/>
        <w:keepNext w:val="0"/>
        <w:keepLines w:val="0"/>
        <w:widowControl w:val="0"/>
        <w:numPr>
          <w:ilvl w:val="0"/>
          <w:numId w:val="17"/>
        </w:numPr>
        <w:shd w:val="clear" w:color="auto" w:fill="auto"/>
        <w:tabs>
          <w:tab w:pos="1093" w:val="left"/>
        </w:tabs>
        <w:bidi w:val="0"/>
        <w:spacing w:before="0" w:after="0" w:line="240" w:lineRule="auto"/>
        <w:ind w:left="0" w:right="0" w:firstLine="720"/>
        <w:jc w:val="both"/>
      </w:pPr>
      <w:r>
        <w:rPr>
          <w:rStyle w:val="CharStyle14"/>
        </w:rPr>
        <w:t>В действиях ФКУ Томская ВК-2 УФСИН России по Томской области нарушения Закона о контрактной системе не выявлены.</w:t>
      </w:r>
    </w:p>
    <w:p>
      <w:pPr>
        <w:pStyle w:val="Style13"/>
        <w:keepNext w:val="0"/>
        <w:keepLines w:val="0"/>
        <w:widowControl w:val="0"/>
        <w:numPr>
          <w:ilvl w:val="0"/>
          <w:numId w:val="17"/>
        </w:numPr>
        <w:shd w:val="clear" w:color="auto" w:fill="auto"/>
        <w:tabs>
          <w:tab w:pos="1781" w:val="left"/>
        </w:tabs>
        <w:bidi w:val="0"/>
        <w:spacing w:before="0" w:after="320" w:line="240" w:lineRule="auto"/>
        <w:ind w:left="0" w:right="0" w:firstLine="720"/>
        <w:jc w:val="both"/>
      </w:pPr>
      <w:r>
        <w:rPr>
          <w:rStyle w:val="CharStyle14"/>
        </w:rPr>
        <w:t>Предписание не выдавать.</w:t>
      </w:r>
    </w:p>
    <w:p>
      <w:pPr>
        <w:pStyle w:val="Style13"/>
        <w:keepNext w:val="0"/>
        <w:keepLines w:val="0"/>
        <w:widowControl w:val="0"/>
        <w:shd w:val="clear" w:color="auto" w:fill="auto"/>
        <w:bidi w:val="0"/>
        <w:spacing w:before="0" w:after="320" w:line="240" w:lineRule="auto"/>
        <w:ind w:left="0" w:right="0" w:firstLine="720"/>
        <w:jc w:val="both"/>
      </w:pPr>
      <w:r>
        <w:rPr>
          <w:rStyle w:val="CharStyle14"/>
        </w:rPr>
        <w:t>Настоящее решение может быть обжаловано в судебном порядке в течение трех месяцев в установленном законом порядке.</w:t>
      </w:r>
    </w:p>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p>
      <w:pPr>
        <w:pStyle w:val="Style13"/>
        <w:keepNext w:val="0"/>
        <w:keepLines w:val="0"/>
        <w:widowControl w:val="0"/>
        <w:shd w:val="clear" w:color="auto" w:fill="auto"/>
        <w:bidi w:val="0"/>
        <w:spacing w:before="0" w:after="1060" w:line="240" w:lineRule="auto"/>
        <w:ind w:left="9320" w:right="0" w:firstLine="0"/>
        <w:jc w:val="both"/>
      </w:pPr>
      <w:r>
        <w:rPr>
          <w:rStyle w:val="CharStyle14"/>
        </w:rPr>
        <w:t>И.М.С</w:t>
      </w:r>
    </w:p>
    <w:p>
      <w:pPr>
        <w:pStyle w:val="Style13"/>
        <w:keepNext w:val="0"/>
        <w:keepLines w:val="0"/>
        <w:widowControl w:val="0"/>
        <w:shd w:val="clear" w:color="auto" w:fill="auto"/>
        <w:bidi w:val="0"/>
        <w:spacing w:before="0" w:after="100" w:line="240" w:lineRule="auto"/>
        <w:ind w:left="0" w:right="0" w:firstLine="0"/>
        <w:jc w:val="left"/>
      </w:pPr>
      <w:r>
        <w:rPr>
          <w:rStyle w:val="CharStyle14"/>
        </w:rPr>
        <w:t>Члены комиссии:</w:t>
      </w:r>
    </w:p>
    <w:p>
      <w:pPr>
        <w:pStyle w:val="Style13"/>
        <w:keepNext w:val="0"/>
        <w:keepLines w:val="0"/>
        <w:widowControl w:val="0"/>
        <w:shd w:val="clear" w:color="auto" w:fill="auto"/>
        <w:bidi w:val="0"/>
        <w:spacing w:before="0" w:after="800" w:line="240" w:lineRule="auto"/>
        <w:ind w:left="0" w:right="0" w:firstLine="0"/>
        <w:jc w:val="right"/>
      </w:pPr>
      <w:r>
        <w:rPr>
          <w:rStyle w:val="CharStyle14"/>
        </w:rPr>
        <w:t>Д.А. М</w:t>
      </w:r>
    </w:p>
    <w:p>
      <w:pPr>
        <w:pStyle w:val="Style13"/>
        <w:keepNext w:val="0"/>
        <w:keepLines w:val="0"/>
        <w:widowControl w:val="0"/>
        <w:shd w:val="clear" w:color="auto" w:fill="auto"/>
        <w:bidi w:val="0"/>
        <w:spacing w:before="0" w:after="320" w:line="240" w:lineRule="auto"/>
        <w:ind w:left="9320" w:right="0" w:firstLine="0"/>
        <w:jc w:val="both"/>
      </w:pPr>
      <w:r>
        <w:rPr>
          <w:rStyle w:val="CharStyle14"/>
        </w:rPr>
        <w:t>К.С. П</w:t>
      </w:r>
    </w:p>
    <w:sectPr>
      <w:headerReference w:type="default" r:id="rId19"/>
      <w:footerReference w:type="default" r:id="rId20"/>
      <w:footnotePr>
        <w:pos w:val="pageBottom"/>
        <w:numFmt w:val="decimal"/>
        <w:numRestart w:val="continuous"/>
      </w:footnotePr>
      <w:pgSz w:w="11900" w:h="16840"/>
      <w:pgMar w:top="1695" w:right="540" w:bottom="1695" w:left="110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721360</wp:posOffset>
              </wp:positionH>
              <wp:positionV relativeFrom="page">
                <wp:posOffset>10013315</wp:posOffset>
              </wp:positionV>
              <wp:extent cx="648970" cy="106680"/>
              <wp:wrapNone/>
              <wp:docPr id="5" name="Shape 5"/>
              <a:graphic xmlns:a="http://schemas.openxmlformats.org/drawingml/2006/main">
                <a:graphicData uri="http://schemas.microsoft.com/office/word/2010/wordprocessingShape">
                  <wps:wsp>
                    <wps:cNvSpPr txBox="1"/>
                    <wps:spPr>
                      <a:xfrm>
                        <a:ext cx="648970" cy="1066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2026-3096</w:t>
                          </w:r>
                        </w:p>
                      </w:txbxContent>
                    </wps:txbx>
                    <wps:bodyPr wrap="none" lIns="0" tIns="0" rIns="0" bIns="0">
                      <a:spAutoFit/>
                    </wps:bodyPr>
                  </wps:wsp>
                </a:graphicData>
              </a:graphic>
            </wp:anchor>
          </w:drawing>
        </mc:Choice>
        <mc:Fallback>
          <w:pict>
            <v:shape id="_x0000_s1031" type="#_x0000_t202" style="position:absolute;margin-left:56.800000000000004pt;margin-top:788.45000000000005pt;width:51.100000000000001pt;height:8.4000000000000004pt;z-index:-188744060;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2026-3096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721360</wp:posOffset>
              </wp:positionH>
              <wp:positionV relativeFrom="page">
                <wp:posOffset>9854565</wp:posOffset>
              </wp:positionV>
              <wp:extent cx="650875" cy="105410"/>
              <wp:wrapNone/>
              <wp:docPr id="7" name="Shape 7"/>
              <a:graphic xmlns:a="http://schemas.openxmlformats.org/drawingml/2006/main">
                <a:graphicData uri="http://schemas.microsoft.com/office/word/2010/wordprocessingShape">
                  <wps:wsp>
                    <wps:cNvSpPr txBox="1"/>
                    <wps:spPr>
                      <a:xfrm>
                        <a:ext cx="650875" cy="10541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lang w:val="ru-RU" w:eastAsia="ru-RU"/>
                            </w:rPr>
                            <w:t>2026-3096</w:t>
                          </w:r>
                        </w:p>
                      </w:txbxContent>
                    </wps:txbx>
                    <wps:bodyPr wrap="none" lIns="0" tIns="0" rIns="0" bIns="0">
                      <a:spAutoFit/>
                    </wps:bodyPr>
                  </wps:wsp>
                </a:graphicData>
              </a:graphic>
            </wp:anchor>
          </w:drawing>
        </mc:Choice>
        <mc:Fallback>
          <w:pict>
            <v:shape id="_x0000_s1033" type="#_x0000_t202" style="position:absolute;margin-left:56.800000000000004pt;margin-top:775.95000000000005pt;width:51.25pt;height:8.3000000000000007pt;z-index:-188744058;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lang w:val="ru-RU" w:eastAsia="ru-RU"/>
                      </w:rPr>
                      <w:t>2026-3096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721360</wp:posOffset>
              </wp:positionH>
              <wp:positionV relativeFrom="page">
                <wp:posOffset>10013315</wp:posOffset>
              </wp:positionV>
              <wp:extent cx="648970" cy="106680"/>
              <wp:wrapNone/>
              <wp:docPr id="15" name="Shape 15"/>
              <a:graphic xmlns:a="http://schemas.openxmlformats.org/drawingml/2006/main">
                <a:graphicData uri="http://schemas.microsoft.com/office/word/2010/wordprocessingShape">
                  <wps:wsp>
                    <wps:cNvSpPr txBox="1"/>
                    <wps:spPr>
                      <a:xfrm>
                        <a:ext cx="648970" cy="1066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2026-3096</w:t>
                          </w:r>
                        </w:p>
                      </w:txbxContent>
                    </wps:txbx>
                    <wps:bodyPr wrap="none" lIns="0" tIns="0" rIns="0" bIns="0">
                      <a:spAutoFit/>
                    </wps:bodyPr>
                  </wps:wsp>
                </a:graphicData>
              </a:graphic>
            </wp:anchor>
          </w:drawing>
        </mc:Choice>
        <mc:Fallback>
          <w:pict>
            <v:shape id="_x0000_s1041" type="#_x0000_t202" style="position:absolute;margin-left:56.800000000000004pt;margin-top:788.45000000000005pt;width:51.100000000000001pt;height:8.4000000000000004pt;z-index:-188744052;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2026-3096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7" behindDoc="1" locked="0" layoutInCell="1" allowOverlap="1">
              <wp:simplePos x="0" y="0"/>
              <wp:positionH relativeFrom="page">
                <wp:posOffset>721360</wp:posOffset>
              </wp:positionH>
              <wp:positionV relativeFrom="page">
                <wp:posOffset>10013315</wp:posOffset>
              </wp:positionV>
              <wp:extent cx="648970" cy="106680"/>
              <wp:wrapNone/>
              <wp:docPr id="21" name="Shape 21"/>
              <a:graphic xmlns:a="http://schemas.openxmlformats.org/drawingml/2006/main">
                <a:graphicData uri="http://schemas.microsoft.com/office/word/2010/wordprocessingShape">
                  <wps:wsp>
                    <wps:cNvSpPr txBox="1"/>
                    <wps:spPr>
                      <a:xfrm>
                        <a:ext cx="648970" cy="1066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2026-3096</w:t>
                          </w:r>
                        </w:p>
                      </w:txbxContent>
                    </wps:txbx>
                    <wps:bodyPr wrap="none" lIns="0" tIns="0" rIns="0" bIns="0">
                      <a:spAutoFit/>
                    </wps:bodyPr>
                  </wps:wsp>
                </a:graphicData>
              </a:graphic>
            </wp:anchor>
          </w:drawing>
        </mc:Choice>
        <mc:Fallback>
          <w:pict>
            <v:shape id="_x0000_s1047" type="#_x0000_t202" style="position:absolute;margin-left:56.800000000000004pt;margin-top:788.45000000000005pt;width:51.100000000000001pt;height:8.4000000000000004pt;z-index:-188744046;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2026-3096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3900805</wp:posOffset>
              </wp:positionH>
              <wp:positionV relativeFrom="page">
                <wp:posOffset>720090</wp:posOffset>
              </wp:positionV>
              <wp:extent cx="121920" cy="106680"/>
              <wp:wrapNone/>
              <wp:docPr id="3" name="Shape 3"/>
              <a:graphic xmlns:a="http://schemas.openxmlformats.org/drawingml/2006/main">
                <a:graphicData uri="http://schemas.microsoft.com/office/word/2010/wordprocessingShape">
                  <wps:wsp>
                    <wps:cNvSpPr txBox="1"/>
                    <wps:spPr>
                      <a:xfrm>
                        <a:ext cx="121920" cy="1066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15000000000003pt;margin-top:56.700000000000003pt;width:9.5999999999999996pt;height:8.4000000000000004pt;z-index:-188744062;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3900805</wp:posOffset>
              </wp:positionH>
              <wp:positionV relativeFrom="page">
                <wp:posOffset>759460</wp:posOffset>
              </wp:positionV>
              <wp:extent cx="109855" cy="103505"/>
              <wp:wrapNone/>
              <wp:docPr id="11" name="Shape 11"/>
              <a:graphic xmlns:a="http://schemas.openxmlformats.org/drawingml/2006/main">
                <a:graphicData uri="http://schemas.microsoft.com/office/word/2010/wordprocessingShape">
                  <wps:wsp>
                    <wps:cNvSpPr txBox="1"/>
                    <wps:spPr>
                      <a:xfrm>
                        <a:ext cx="109855" cy="1035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7.15000000000003pt;margin-top:59.800000000000004pt;width:8.6500000000000004pt;height:8.1500000000000004pt;z-index:-188744056;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3900805</wp:posOffset>
              </wp:positionH>
              <wp:positionV relativeFrom="page">
                <wp:posOffset>720090</wp:posOffset>
              </wp:positionV>
              <wp:extent cx="121920" cy="106680"/>
              <wp:wrapNone/>
              <wp:docPr id="13" name="Shape 13"/>
              <a:graphic xmlns:a="http://schemas.openxmlformats.org/drawingml/2006/main">
                <a:graphicData uri="http://schemas.microsoft.com/office/word/2010/wordprocessingShape">
                  <wps:wsp>
                    <wps:cNvSpPr txBox="1"/>
                    <wps:spPr>
                      <a:xfrm>
                        <a:ext cx="121920" cy="1066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7.15000000000003pt;margin-top:56.700000000000003pt;width:9.5999999999999996pt;height:8.4000000000000004pt;z-index:-188744054;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3900805</wp:posOffset>
              </wp:positionH>
              <wp:positionV relativeFrom="page">
                <wp:posOffset>759460</wp:posOffset>
              </wp:positionV>
              <wp:extent cx="109855" cy="103505"/>
              <wp:wrapNone/>
              <wp:docPr id="17" name="Shape 17"/>
              <a:graphic xmlns:a="http://schemas.openxmlformats.org/drawingml/2006/main">
                <a:graphicData uri="http://schemas.microsoft.com/office/word/2010/wordprocessingShape">
                  <wps:wsp>
                    <wps:cNvSpPr txBox="1"/>
                    <wps:spPr>
                      <a:xfrm>
                        <a:ext cx="109855" cy="1035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7.15000000000003pt;margin-top:59.800000000000004pt;width:8.6500000000000004pt;height:8.1500000000000004pt;z-index:-188744050;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3900805</wp:posOffset>
              </wp:positionH>
              <wp:positionV relativeFrom="page">
                <wp:posOffset>720090</wp:posOffset>
              </wp:positionV>
              <wp:extent cx="121920" cy="106680"/>
              <wp:wrapNone/>
              <wp:docPr id="19" name="Shape 19"/>
              <a:graphic xmlns:a="http://schemas.openxmlformats.org/drawingml/2006/main">
                <a:graphicData uri="http://schemas.microsoft.com/office/word/2010/wordprocessingShape">
                  <wps:wsp>
                    <wps:cNvSpPr txBox="1"/>
                    <wps:spPr>
                      <a:xfrm>
                        <a:ext cx="121920" cy="1066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7.15000000000003pt;margin-top:56.700000000000003pt;width:9.5999999999999996pt;height:8.4000000000000004pt;z-index:-188744048;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061A9"/>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061A9"/>
      <w:sz w:val="19"/>
      <w:szCs w:val="19"/>
      <w:u w:val="none"/>
    </w:rPr>
  </w:style>
  <w:style w:type="character" w:customStyle="1" w:styleId="CharStyle8">
    <w:name w:val="Body text (5)_"/>
    <w:basedOn w:val="DefaultParagraphFont"/>
    <w:link w:val="Style7"/>
    <w:rPr>
      <w:rFonts w:ascii="Arial" w:eastAsia="Arial" w:hAnsi="Arial" w:cs="Arial"/>
      <w:b/>
      <w:bCs/>
      <w:i w:val="0"/>
      <w:iCs w:val="0"/>
      <w:smallCaps w:val="0"/>
      <w:strike w:val="0"/>
      <w:sz w:val="10"/>
      <w:szCs w:val="10"/>
      <w:u w:val="none"/>
    </w:rPr>
  </w:style>
  <w:style w:type="character" w:customStyle="1" w:styleId="CharStyle12">
    <w:name w:val="Body text (4)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Header or footer (2)_"/>
    <w:basedOn w:val="DefaultParagraphFont"/>
    <w:link w:val="Style15"/>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
    <w:name w:val="Body text (2)"/>
    <w:basedOn w:val="Normal"/>
    <w:link w:val="CharStyle3"/>
    <w:pPr>
      <w:widowControl w:val="0"/>
      <w:shd w:val="clear" w:color="auto" w:fill="auto"/>
      <w:spacing w:after="100" w:line="276" w:lineRule="auto"/>
      <w:jc w:val="center"/>
    </w:pPr>
    <w:rPr>
      <w:rFonts w:ascii="Times New Roman" w:eastAsia="Times New Roman" w:hAnsi="Times New Roman" w:cs="Times New Roman"/>
      <w:b w:val="0"/>
      <w:bCs w:val="0"/>
      <w:i w:val="0"/>
      <w:iCs w:val="0"/>
      <w:smallCaps w:val="0"/>
      <w:strike w:val="0"/>
      <w:color w:val="4061A9"/>
      <w:sz w:val="16"/>
      <w:szCs w:val="16"/>
      <w:u w:val="none"/>
    </w:rPr>
  </w:style>
  <w:style w:type="paragraph" w:customStyle="1" w:styleId="Style5">
    <w:name w:val="Body text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061A9"/>
      <w:sz w:val="19"/>
      <w:szCs w:val="19"/>
      <w:u w:val="none"/>
    </w:rPr>
  </w:style>
  <w:style w:type="paragraph" w:customStyle="1" w:styleId="Style7">
    <w:name w:val="Body text (5)"/>
    <w:basedOn w:val="Normal"/>
    <w:link w:val="CharStyle8"/>
    <w:pPr>
      <w:widowControl w:val="0"/>
      <w:shd w:val="clear" w:color="auto" w:fill="auto"/>
      <w:spacing w:after="140" w:line="252" w:lineRule="auto"/>
      <w:ind w:left="200" w:firstLine="260"/>
    </w:pPr>
    <w:rPr>
      <w:rFonts w:ascii="Arial" w:eastAsia="Arial" w:hAnsi="Arial" w:cs="Arial"/>
      <w:b/>
      <w:bCs/>
      <w:i w:val="0"/>
      <w:iCs w:val="0"/>
      <w:smallCaps w:val="0"/>
      <w:strike w:val="0"/>
      <w:sz w:val="10"/>
      <w:szCs w:val="10"/>
      <w:u w:val="none"/>
    </w:rPr>
  </w:style>
  <w:style w:type="paragraph" w:customStyle="1" w:styleId="Style11">
    <w:name w:val="Body text (4)"/>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Header or footer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s>
</file>

<file path=docProps/core.xml>﻿<?xml version="1.0" encoding="UTF-8" standalone="yes"?>
<cp:coreProperties xmlns:cp="http://schemas.openxmlformats.org/package/2006/metadata/core-properties" xmlns:dc="http://purl.org/dc/elements/1.1/"><dc:title>blank.pdf - 2026-05-08T125109.846.odt</dc:title><dc:subject></dc:subject><dc:creator>&#x1a;@K;&gt;20 &#x1a;0@8=0 !5@3552=0</dc:creator><cp:keywords></cp:keywords>
</cp:coreProperties>
</file>