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821055</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3.05.2026</w:t>
                            </w:r>
                            <w:r>
                              <w:fldChar w:fldCharType="end"/>
                            </w:r>
                            <w:r>
                              <w:rPr>
                                <w:rStyle w:val="CharStyle7"/>
                                <w:sz w:val="30"/>
                                <w:szCs w:val="30"/>
                              </w:rPr>
                              <w:tab/>
                              <w:t>№ 20046/26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650000000000006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3.05.2026</w:t>
                      </w:r>
                      <w:r>
                        <w:fldChar w:fldCharType="end"/>
                      </w:r>
                      <w:r>
                        <w:rPr>
                          <w:rStyle w:val="CharStyle7"/>
                          <w:sz w:val="30"/>
                          <w:szCs w:val="30"/>
                        </w:rPr>
                        <w:tab/>
                        <w:t>№ 20046/26</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rStyle w:val="CharStyle7"/>
        </w:rPr>
        <w:t>ГБУЗ «ГКБ им. Ф.И. Иноземцева ДЗМ»</w:t>
      </w:r>
    </w:p>
    <w:p>
      <w:pPr>
        <w:pStyle w:val="Style6"/>
        <w:keepNext w:val="0"/>
        <w:keepLines w:val="0"/>
        <w:widowControl w:val="0"/>
        <w:shd w:val="clear" w:color="auto" w:fill="auto"/>
        <w:bidi w:val="0"/>
        <w:spacing w:before="0" w:after="280" w:line="240" w:lineRule="auto"/>
        <w:ind w:left="1140" w:right="0" w:firstLine="0"/>
        <w:jc w:val="left"/>
      </w:pPr>
      <w:r>
        <w:fldChar w:fldCharType="begin"/>
      </w:r>
      <w:r>
        <w:rPr/>
        <w:instrText> HYPERLINK "mailto:gkb36@zdrav.mos.ru" </w:instrText>
      </w:r>
      <w:r>
        <w:fldChar w:fldCharType="separate"/>
      </w:r>
      <w:r>
        <w:rPr>
          <w:rStyle w:val="CharStyle7"/>
          <w:lang w:val="en-US" w:eastAsia="en-US"/>
        </w:rPr>
        <w:t>gkb36@zdrav.mos.ru</w:t>
      </w:r>
      <w:r>
        <w:fldChar w:fldCharType="end"/>
      </w:r>
    </w:p>
    <w:p>
      <w:pPr>
        <w:pStyle w:val="Style6"/>
        <w:keepNext w:val="0"/>
        <w:keepLines w:val="0"/>
        <w:widowControl w:val="0"/>
        <w:shd w:val="clear" w:color="auto" w:fill="auto"/>
        <w:bidi w:val="0"/>
        <w:spacing w:before="0" w:after="280" w:line="240" w:lineRule="auto"/>
        <w:ind w:left="1140" w:right="0" w:firstLine="0"/>
        <w:jc w:val="left"/>
      </w:pPr>
      <w:r>
        <w:rPr>
          <w:rStyle w:val="CharStyle7"/>
        </w:rPr>
        <w:t>ИП Кравченко А.В.</w:t>
      </w:r>
    </w:p>
    <w:p>
      <w:pPr>
        <w:pStyle w:val="Style6"/>
        <w:keepNext w:val="0"/>
        <w:keepLines w:val="0"/>
        <w:widowControl w:val="0"/>
        <w:shd w:val="clear" w:color="auto" w:fill="auto"/>
        <w:bidi w:val="0"/>
        <w:spacing w:before="0" w:after="280" w:line="240" w:lineRule="auto"/>
        <w:ind w:left="1140" w:right="0" w:firstLine="0"/>
        <w:jc w:val="left"/>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280" w:line="240" w:lineRule="auto"/>
        <w:ind w:left="1140" w:right="0" w:firstLine="0"/>
        <w:jc w:val="left"/>
      </w:pPr>
      <w:r>
        <w:rPr>
          <w:rStyle w:val="CharStyle7"/>
        </w:rPr>
        <w:t>АО«ЕЭТП»</w:t>
      </w:r>
    </w:p>
    <w:p>
      <w:pPr>
        <w:pStyle w:val="Style6"/>
        <w:keepNext w:val="0"/>
        <w:keepLines w:val="0"/>
        <w:widowControl w:val="0"/>
        <w:shd w:val="clear" w:color="auto" w:fill="auto"/>
        <w:bidi w:val="0"/>
        <w:spacing w:before="0" w:after="1380" w:line="240" w:lineRule="auto"/>
        <w:ind w:left="5320" w:right="0" w:firstLine="0"/>
        <w:jc w:val="left"/>
      </w:pPr>
      <w:r>
        <w:fldChar w:fldCharType="begin"/>
      </w:r>
      <w:r>
        <w:rPr/>
        <w:instrText> HYPERLINK "mailto:ko@roseltorg.ru" </w:instrText>
      </w:r>
      <w:r>
        <w:fldChar w:fldCharType="separate"/>
      </w:r>
      <w:r>
        <w:rPr>
          <w:rStyle w:val="CharStyle7"/>
          <w:lang w:val="en-US" w:eastAsia="en-US"/>
        </w:rPr>
        <w:t>ko@roseltorg.ru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077/06/105-5751/2026 </w:t>
      </w:r>
      <w:r>
        <w:rPr>
          <w:rStyle w:val="CharStyle7"/>
          <w:b/>
          <w:bCs/>
        </w:rPr>
        <w:t>о нарушении</w:t>
        <w:br/>
        <w:t>законодательства о контрактной системе</w:t>
        <w:br/>
      </w:r>
      <w:r>
        <w:rPr>
          <w:rStyle w:val="CharStyle7"/>
          <w:b/>
          <w:bCs/>
          <w:lang w:val="en-US" w:eastAsia="en-US"/>
        </w:rPr>
        <w:t>07.05.2026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Председательствующего </w:t>
      </w:r>
      <w:r>
        <w:rPr>
          <w:rStyle w:val="CharStyle7"/>
          <w:lang w:val="en-US" w:eastAsia="en-US"/>
        </w:rPr>
        <w:t xml:space="preserve">- </w:t>
      </w:r>
      <w:r>
        <w:rPr>
          <w:rStyle w:val="CharStyle7"/>
        </w:rPr>
        <w:t>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Члены Комиссии:</w:t>
      </w:r>
    </w:p>
    <w:p>
      <w:pPr>
        <w:pStyle w:val="Style6"/>
        <w:keepNext w:val="0"/>
        <w:keepLines w:val="0"/>
        <w:widowControl w:val="0"/>
        <w:shd w:val="clear" w:color="auto" w:fill="auto"/>
        <w:tabs>
          <w:tab w:pos="3638" w:val="left"/>
          <w:tab w:pos="6772" w:val="left"/>
        </w:tabs>
        <w:bidi w:val="0"/>
        <w:spacing w:before="0" w:after="0" w:line="240" w:lineRule="auto"/>
        <w:ind w:left="0" w:right="0" w:firstLine="700"/>
        <w:jc w:val="both"/>
      </w:pPr>
      <w:r>
        <w:rPr>
          <w:rStyle w:val="CharStyle7"/>
        </w:rPr>
        <w:t>Специалиста-эксперта</w:t>
        <w:tab/>
        <w:t>отдела обжалования</w:t>
        <w:tab/>
        <w:t>государственных закупок</w:t>
      </w:r>
    </w:p>
    <w:p>
      <w:pPr>
        <w:pStyle w:val="Style6"/>
        <w:keepNext w:val="0"/>
        <w:keepLines w:val="0"/>
        <w:widowControl w:val="0"/>
        <w:shd w:val="clear" w:color="auto" w:fill="auto"/>
        <w:bidi w:val="0"/>
        <w:spacing w:before="0" w:after="0" w:line="240" w:lineRule="auto"/>
        <w:ind w:left="0" w:right="0" w:firstLine="0"/>
        <w:jc w:val="both"/>
      </w:pPr>
      <w:r>
        <w:rPr>
          <w:rStyle w:val="CharStyle7"/>
        </w:rPr>
        <w:t>А.С. Гелмутдиновой,</w:t>
      </w:r>
    </w:p>
    <w:p>
      <w:pPr>
        <w:pStyle w:val="Style6"/>
        <w:keepNext w:val="0"/>
        <w:keepLines w:val="0"/>
        <w:widowControl w:val="0"/>
        <w:shd w:val="clear" w:color="auto" w:fill="auto"/>
        <w:tabs>
          <w:tab w:pos="3638" w:val="left"/>
          <w:tab w:pos="4852" w:val="left"/>
          <w:tab w:pos="6772" w:val="left"/>
        </w:tabs>
        <w:bidi w:val="0"/>
        <w:spacing w:before="0" w:after="0" w:line="240" w:lineRule="auto"/>
        <w:ind w:left="0" w:right="0" w:firstLine="700"/>
        <w:jc w:val="both"/>
      </w:pPr>
      <w:r>
        <w:rPr>
          <w:rStyle w:val="CharStyle7"/>
        </w:rPr>
        <w:t>Специалиста-эксперта</w:t>
        <w:tab/>
        <w:t>отдела</w:t>
        <w:tab/>
        <w:t>обжалования</w:t>
        <w:tab/>
        <w:t>государственных закупок</w:t>
      </w:r>
    </w:p>
    <w:p>
      <w:pPr>
        <w:pStyle w:val="Style6"/>
        <w:keepNext w:val="0"/>
        <w:keepLines w:val="0"/>
        <w:widowControl w:val="0"/>
        <w:shd w:val="clear" w:color="auto" w:fill="auto"/>
        <w:bidi w:val="0"/>
        <w:spacing w:before="0" w:after="0" w:line="240" w:lineRule="auto"/>
        <w:ind w:left="0" w:right="0" w:firstLine="0"/>
        <w:jc w:val="both"/>
      </w:pPr>
      <w:r>
        <w:rPr>
          <w:rStyle w:val="CharStyle7"/>
        </w:rPr>
        <w:t>Е.С. Переверзевой,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при участии представителей ГБУЗ «ГКБ им. Ф.И. Иноземцева ДЗМ»: Демченко В.С. (по дов. </w:t>
      </w:r>
      <w:r>
        <w:rPr>
          <w:rStyle w:val="CharStyle7"/>
          <w:lang w:val="en-US" w:eastAsia="en-US"/>
        </w:rPr>
        <w:t xml:space="preserve">№2/2026 </w:t>
      </w:r>
      <w:r>
        <w:rPr>
          <w:rStyle w:val="CharStyle7"/>
        </w:rPr>
        <w:t xml:space="preserve">от </w:t>
      </w:r>
      <w:r>
        <w:rPr>
          <w:rStyle w:val="CharStyle7"/>
          <w:lang w:val="en-US" w:eastAsia="en-US"/>
        </w:rPr>
        <w:t xml:space="preserve">12.01.2026), </w:t>
      </w:r>
      <w:r>
        <w:rPr>
          <w:rStyle w:val="CharStyle7"/>
        </w:rPr>
        <w:t xml:space="preserve">Федоренко М.А. (по дов. №5667/202Т от </w:t>
      </w:r>
      <w:r>
        <w:rPr>
          <w:rStyle w:val="CharStyle7"/>
          <w:lang w:val="en-US" w:eastAsia="en-US"/>
        </w:rPr>
        <w:t>29.09.2025),</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280" w:line="240" w:lineRule="auto"/>
        <w:ind w:left="0" w:right="0" w:firstLine="720"/>
        <w:jc w:val="both"/>
      </w:pP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ГБУЗ «ГКБ им. Ф.И. Иноземцева ДЗМ» (далее </w:t>
      </w:r>
      <w:r>
        <w:rPr>
          <w:rStyle w:val="CharStyle7"/>
          <w:lang w:val="en-US" w:eastAsia="en-US"/>
        </w:rPr>
        <w:t xml:space="preserve">- </w:t>
      </w:r>
      <w:r>
        <w:rPr>
          <w:rStyle w:val="CharStyle7"/>
        </w:rPr>
        <w:t xml:space="preserve">Заказчик) на действия ГБУЗ «ГКБ им. Ф.И. Иноземцева ДЗМ» при проведении запроса котировок в электронной форме на право заключения государственного контракта на поставку датчика системы для нужд ГБУЗ «ГКБ им. Ф.И. Иноземцева ДЗМ» (Закупка </w:t>
      </w:r>
      <w:r>
        <w:rPr>
          <w:rStyle w:val="CharStyle7"/>
          <w:lang w:val="en-US" w:eastAsia="en-US"/>
        </w:rPr>
        <w:t xml:space="preserve">№ 0373200052326000423) </w:t>
      </w:r>
      <w:r>
        <w:rPr>
          <w:rStyle w:val="CharStyle7"/>
        </w:rPr>
        <w:t xml:space="preserve">(далее </w:t>
      </w:r>
      <w:r>
        <w:rPr>
          <w:rStyle w:val="CharStyle7"/>
          <w:lang w:val="en-US" w:eastAsia="en-US"/>
        </w:rPr>
        <w:t xml:space="preserve">– </w:t>
      </w:r>
      <w:r>
        <w:rPr>
          <w:rStyle w:val="CharStyle7"/>
        </w:rPr>
        <w:t xml:space="preserve">запрос котировок), в соответствии с Федеральным законом от </w:t>
      </w:r>
      <w:r>
        <w:rPr>
          <w:rStyle w:val="CharStyle7"/>
          <w:lang w:val="en-US" w:eastAsia="en-US"/>
        </w:rPr>
        <w:t>05.04.2013</w:t>
      </w:r>
    </w:p>
    <w:p>
      <w:pPr>
        <w:pStyle w:val="Style13"/>
        <w:keepNext/>
        <w:keepLines/>
        <w:widowControl w:val="0"/>
        <w:shd w:val="clear" w:color="auto" w:fill="auto"/>
        <w:bidi w:val="0"/>
        <w:spacing w:before="0" w:line="240" w:lineRule="auto"/>
        <w:ind w:left="0" w:right="0"/>
        <w:jc w:val="left"/>
        <w:sectPr>
          <w:footerReference w:type="default" r:id="rId7"/>
          <w:footnotePr>
            <w:pos w:val="pageBottom"/>
            <w:numFmt w:val="decimal"/>
            <w:numRestart w:val="continuous"/>
          </w:footnotePr>
          <w:pgSz w:w="11900" w:h="16840"/>
          <w:pgMar w:top="294" w:right="541" w:bottom="584" w:left="1101" w:header="0" w:footer="3" w:gutter="0"/>
          <w:pgNumType w:start="1"/>
          <w:cols w:space="720"/>
          <w:noEndnote/>
          <w:rtlGutter w:val="0"/>
          <w:docGrid w:linePitch="360"/>
        </w:sectPr>
      </w:pPr>
      <w:bookmarkStart w:id="0" w:name="bookmark0"/>
      <w:r>
        <w:rPr>
          <w:rStyle w:val="CharStyle14"/>
        </w:rPr>
        <w:t>IIIIIIIIIIIIIIIIIIIIIIIIIII</w:t>
      </w:r>
      <w:bookmarkEnd w:id="0"/>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запроса котировок.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1"/>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240" w:line="240"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w:t>
      </w:r>
    </w:p>
    <w:p>
      <w:pPr>
        <w:pStyle w:val="Style6"/>
        <w:keepNext w:val="0"/>
        <w:keepLines w:val="0"/>
        <w:widowControl w:val="0"/>
        <w:shd w:val="clear" w:color="auto" w:fill="auto"/>
        <w:bidi w:val="0"/>
        <w:spacing w:before="0" w:after="0" w:line="240" w:lineRule="auto"/>
        <w:ind w:left="0" w:right="0" w:firstLine="0"/>
        <w:jc w:val="both"/>
      </w:pPr>
      <w:r>
        <w:rPr>
          <w:rStyle w:val="CharStyle7"/>
        </w:rPr>
        <w:t>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описании объекта закупки Заказчиком установлены требования для закупаемого товара: «Система ультразвуковой визуализации универсальная, с питанием от сети» КТРУ </w:t>
      </w:r>
      <w:r>
        <w:rPr>
          <w:rStyle w:val="CharStyle7"/>
          <w:lang w:val="en-US" w:eastAsia="en-US"/>
        </w:rPr>
        <w:t>26.60.12.132-00000036.</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 xml:space="preserve">В составе жалобы Заявитель указывает, что Заказчик установил (не применил) ограничение закупок товаров, происходящих из иностранных государств, по Постановлению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закупки требованиям к техническим характеристикам, в полной мере, не соответствует ни один товар из реестра российской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sectPr>
          <w:headerReference w:type="default" r:id="rId8"/>
          <w:footerReference w:type="default" r:id="rId9"/>
          <w:footnotePr>
            <w:pos w:val="pageBottom"/>
            <w:numFmt w:val="decimal"/>
            <w:numRestart w:val="continuous"/>
          </w:footnotePr>
          <w:pgSz w:w="11900" w:h="16840"/>
          <w:pgMar w:top="1162" w:right="545" w:bottom="1205" w:left="1101" w:header="0" w:footer="3" w:gutter="0"/>
          <w:cols w:space="720"/>
          <w:noEndnote/>
          <w:rtlGutter w:val="0"/>
          <w:docGrid w:linePitch="360"/>
        </w:sectPr>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w:t>
      </w:r>
    </w:p>
    <w:p>
      <w:pPr>
        <w:pStyle w:val="Style6"/>
        <w:keepNext w:val="0"/>
        <w:keepLines w:val="0"/>
        <w:widowControl w:val="0"/>
        <w:shd w:val="clear" w:color="auto" w:fill="auto"/>
        <w:bidi w:val="0"/>
        <w:spacing w:before="0" w:after="0" w:line="240" w:lineRule="auto"/>
        <w:ind w:left="0" w:right="0" w:firstLine="0"/>
        <w:jc w:val="both"/>
      </w:pPr>
      <w:r>
        <w:rPr>
          <w:rStyle w:val="CharStyle7"/>
        </w:rPr>
        <w:t>контрактной системе принимать меры, устанавливающие:</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Российской Федерации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69" w:lineRule="auto"/>
        <w:ind w:left="0" w:right="0" w:firstLine="700"/>
        <w:jc w:val="both"/>
        <w:rPr>
          <w:sz w:val="24"/>
          <w:szCs w:val="24"/>
        </w:rPr>
        <w:sectPr>
          <w:headerReference w:type="default" r:id="rId10"/>
          <w:footerReference w:type="default" r:id="rId11"/>
          <w:footnotePr>
            <w:pos w:val="pageBottom"/>
            <w:numFmt w:val="decimal"/>
            <w:numRestart w:val="continuous"/>
          </w:footnotePr>
          <w:pgSz w:w="11900" w:h="16840"/>
          <w:pgMar w:top="1162" w:right="550" w:bottom="682" w:left="1101" w:header="0" w:footer="254" w:gutter="0"/>
          <w:cols w:space="720"/>
          <w:noEndnote/>
          <w:rtlGutter w:val="0"/>
          <w:docGrid w:linePitch="360"/>
        </w:sectPr>
      </w:pPr>
      <w:r>
        <w:rPr>
          <w:rStyle w:val="CharStyle7"/>
        </w:rPr>
        <w:t xml:space="preserve">Пп.«в» п.4 Постановления </w:t>
      </w:r>
      <w:r>
        <w:rPr>
          <w:rStyle w:val="CharStyle7"/>
          <w:lang w:val="en-US" w:eastAsia="en-US"/>
        </w:rPr>
        <w:t xml:space="preserve">№1875 </w:t>
      </w:r>
      <w:r>
        <w:rPr>
          <w:rStyle w:val="CharStyle7"/>
        </w:rPr>
        <w:t xml:space="preserve">определено, что, если иное не установлено в соответствии с Законом о контрактной системе, с Федеральным законом «О закупках товаров, работ, услуг отдельными видами юридических лиц» и принятыми в соответствии с ними нормативными правовыми актами, в </w:t>
      </w:r>
      <w:r>
        <w:rPr>
          <w:rStyle w:val="CharStyle7"/>
          <w:sz w:val="24"/>
          <w:szCs w:val="24"/>
          <w:lang w:val="en-US" w:eastAsia="en-US"/>
        </w:rPr>
        <w:t>2026-23235</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том числе Постановлением </w:t>
      </w:r>
      <w:r>
        <w:rPr>
          <w:rStyle w:val="CharStyle7"/>
          <w:lang w:val="en-US" w:eastAsia="en-US"/>
        </w:rPr>
        <w:t xml:space="preserve">№1875, </w:t>
      </w:r>
      <w:r>
        <w:rPr>
          <w:rStyle w:val="CharStyle7"/>
        </w:rPr>
        <w:t xml:space="preserve">допускается включать в один объект закупки (предмет закупки) товары, работы, услуги как указанные в приложении </w:t>
      </w:r>
      <w:r>
        <w:rPr>
          <w:rStyle w:val="CharStyle7"/>
          <w:lang w:val="en-US" w:eastAsia="en-US"/>
        </w:rPr>
        <w:t xml:space="preserve">№1 </w:t>
      </w:r>
      <w:r>
        <w:rPr>
          <w:rStyle w:val="CharStyle7"/>
        </w:rPr>
        <w:t xml:space="preserve">к Постановлению </w:t>
      </w:r>
      <w:r>
        <w:rPr>
          <w:rStyle w:val="CharStyle7"/>
          <w:lang w:val="en-US" w:eastAsia="en-US"/>
        </w:rPr>
        <w:t xml:space="preserve">№1875 </w:t>
      </w:r>
      <w:r>
        <w:rPr>
          <w:rStyle w:val="CharStyle7"/>
        </w:rPr>
        <w:t xml:space="preserve">и приложении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так и не указанные в таких приложениях, при этом к включенным в объект закупки товарам, не указанным в приложении </w:t>
      </w:r>
      <w:r>
        <w:rPr>
          <w:rStyle w:val="CharStyle7"/>
          <w:lang w:val="en-US" w:eastAsia="en-US"/>
        </w:rPr>
        <w:t xml:space="preserve">№1 </w:t>
      </w:r>
      <w:r>
        <w:rPr>
          <w:rStyle w:val="CharStyle7"/>
        </w:rPr>
        <w:t xml:space="preserve">к Постановлению </w:t>
      </w:r>
      <w:r>
        <w:rPr>
          <w:rStyle w:val="CharStyle7"/>
          <w:lang w:val="en-US" w:eastAsia="en-US"/>
        </w:rPr>
        <w:t xml:space="preserve">№1875 </w:t>
      </w:r>
      <w:r>
        <w:rPr>
          <w:rStyle w:val="CharStyle7"/>
        </w:rPr>
        <w:t xml:space="preserve">и приложении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положения Постановления </w:t>
      </w:r>
      <w:r>
        <w:rPr>
          <w:rStyle w:val="CharStyle7"/>
          <w:lang w:val="en-US" w:eastAsia="en-US"/>
        </w:rPr>
        <w:t xml:space="preserve">№1875, </w:t>
      </w:r>
      <w:r>
        <w:rPr>
          <w:rStyle w:val="CharStyle7"/>
        </w:rPr>
        <w:t xml:space="preserve">касающиеся преимущества, указанного в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закупки, в отношении закупаемого товара Заказчиком установлено ограничение закупок товаров, происходящих из иностранных государств, предусмотренного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 российской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sectPr>
          <w:headerReference w:type="default" r:id="rId12"/>
          <w:footerReference w:type="default" r:id="rId13"/>
          <w:footnotePr>
            <w:pos w:val="pageBottom"/>
            <w:numFmt w:val="decimal"/>
            <w:numRestart w:val="continuous"/>
          </w:footnotePr>
          <w:pgSz w:w="11900" w:h="16840"/>
          <w:pgMar w:top="1162" w:right="550" w:bottom="1436" w:left="1103" w:header="0" w:footer="3" w:gutter="0"/>
          <w:cols w:space="720"/>
          <w:noEndnote/>
          <w:rtlGutter w:val="0"/>
          <w:docGrid w:linePitch="360"/>
        </w:sectPr>
      </w:pPr>
      <w:r>
        <w:rPr>
          <w:rStyle w:val="CharStyle7"/>
        </w:rPr>
        <w:t xml:space="preserve">Комиссия Управления отмечает, что исходя из буквального толкования 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Согласно доводам жалобы, установленные Заказчиком требования к характеристикам необходимых к поставке изделий ограничивают круг участников закупки, поскольку совокупности установленных требований к изделиям не соответствует ни одно изделие, либо соответствуют изделия конкретного производителя.</w:t>
      </w:r>
    </w:p>
    <w:p>
      <w:pPr>
        <w:pStyle w:val="Style6"/>
        <w:keepNext w:val="0"/>
        <w:keepLines w:val="0"/>
        <w:widowControl w:val="0"/>
        <w:shd w:val="clear" w:color="auto" w:fill="auto"/>
        <w:bidi w:val="0"/>
        <w:spacing w:before="0" w:after="0" w:line="295" w:lineRule="auto"/>
        <w:ind w:left="0" w:right="0" w:firstLine="700"/>
        <w:jc w:val="both"/>
        <w:rPr>
          <w:sz w:val="24"/>
          <w:szCs w:val="24"/>
        </w:rPr>
        <w:sectPr>
          <w:headerReference w:type="default" r:id="rId14"/>
          <w:footerReference w:type="default" r:id="rId15"/>
          <w:footnotePr>
            <w:pos w:val="pageBottom"/>
            <w:numFmt w:val="decimal"/>
            <w:numRestart w:val="continuous"/>
          </w:footnotePr>
          <w:pgSz w:w="11900" w:h="16840"/>
          <w:pgMar w:top="1162" w:right="541" w:bottom="653" w:left="1106" w:header="0" w:footer="225" w:gutter="0"/>
          <w:cols w:space="720"/>
          <w:noEndnote/>
          <w:rtlGutter w:val="0"/>
          <w:docGrid w:linePitch="360"/>
        </w:sectPr>
      </w:pPr>
      <w:r>
        <w:rPr>
          <w:rStyle w:val="CharStyle7"/>
        </w:rPr>
        <w:t xml:space="preserve">В соответствии с ч.1 ст. </w:t>
      </w:r>
      <w:r>
        <w:rPr>
          <w:rStyle w:val="CharStyle7"/>
          <w:lang w:val="en-US" w:eastAsia="en-US"/>
        </w:rPr>
        <w:t xml:space="preserve">106 </w:t>
      </w:r>
      <w:r>
        <w:rPr>
          <w:rStyle w:val="CharStyle7"/>
        </w:rPr>
        <w:t xml:space="preserve">Закона о контрактной системе лица, права и законные интересы которых непосредственно затрагиваются в результате </w:t>
      </w:r>
      <w:r>
        <w:rPr>
          <w:rStyle w:val="CharStyle7"/>
          <w:sz w:val="24"/>
          <w:szCs w:val="24"/>
          <w:lang w:val="en-US" w:eastAsia="en-US"/>
        </w:rPr>
        <w:t>2026-23235</w:t>
      </w:r>
    </w:p>
    <w:p>
      <w:pPr>
        <w:pStyle w:val="Style6"/>
        <w:keepNext w:val="0"/>
        <w:keepLines w:val="0"/>
        <w:widowControl w:val="0"/>
        <w:shd w:val="clear" w:color="auto" w:fill="auto"/>
        <w:bidi w:val="0"/>
        <w:spacing w:before="0" w:after="0" w:line="240" w:lineRule="auto"/>
        <w:ind w:left="0" w:right="0" w:firstLine="0"/>
        <w:jc w:val="both"/>
      </w:pPr>
      <w:r>
        <w:rPr>
          <w:rStyle w:val="CharStyle7"/>
        </w:rPr>
        <w:t>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заседании Комиссии Управления представителями Заказчика были представлены следующие коммерческие предложения: </w:t>
      </w:r>
      <w:r>
        <w:rPr>
          <w:rStyle w:val="CharStyle7"/>
          <w:lang w:val="en-US" w:eastAsia="en-US"/>
        </w:rPr>
        <w:t xml:space="preserve">№ 48/03 </w:t>
      </w:r>
      <w:r>
        <w:rPr>
          <w:rStyle w:val="CharStyle7"/>
        </w:rPr>
        <w:t xml:space="preserve">от </w:t>
      </w:r>
      <w:r>
        <w:rPr>
          <w:rStyle w:val="CharStyle7"/>
          <w:lang w:val="en-US" w:eastAsia="en-US"/>
        </w:rPr>
        <w:t xml:space="preserve">10 </w:t>
      </w:r>
      <w:r>
        <w:rPr>
          <w:rStyle w:val="CharStyle7"/>
        </w:rPr>
        <w:t xml:space="preserve">марта </w:t>
      </w:r>
      <w:r>
        <w:rPr>
          <w:rStyle w:val="CharStyle7"/>
          <w:lang w:val="en-US" w:eastAsia="en-US"/>
        </w:rPr>
        <w:t xml:space="preserve">2026 </w:t>
      </w:r>
      <w:r>
        <w:rPr>
          <w:rStyle w:val="CharStyle7"/>
        </w:rPr>
        <w:t xml:space="preserve">г., </w:t>
      </w:r>
      <w:r>
        <w:rPr>
          <w:rStyle w:val="CharStyle7"/>
          <w:lang w:val="en-US" w:eastAsia="en-US"/>
        </w:rPr>
        <w:t xml:space="preserve">№ </w:t>
      </w:r>
      <w:r>
        <w:rPr>
          <w:rStyle w:val="CharStyle7"/>
        </w:rPr>
        <w:t xml:space="preserve">б/н от </w:t>
      </w:r>
      <w:r>
        <w:rPr>
          <w:rStyle w:val="CharStyle7"/>
          <w:lang w:val="en-US" w:eastAsia="en-US"/>
        </w:rPr>
        <w:t xml:space="preserve">10 </w:t>
      </w:r>
      <w:r>
        <w:rPr>
          <w:rStyle w:val="CharStyle7"/>
        </w:rPr>
        <w:t xml:space="preserve">марта </w:t>
      </w:r>
      <w:r>
        <w:rPr>
          <w:rStyle w:val="CharStyle7"/>
          <w:lang w:val="en-US" w:eastAsia="en-US"/>
        </w:rPr>
        <w:t xml:space="preserve">2026 </w:t>
      </w:r>
      <w:r>
        <w:rPr>
          <w:rStyle w:val="CharStyle7"/>
        </w:rPr>
        <w:t xml:space="preserve">г., </w:t>
      </w:r>
      <w:r>
        <w:rPr>
          <w:rStyle w:val="CharStyle7"/>
          <w:lang w:val="en-US" w:eastAsia="en-US"/>
        </w:rPr>
        <w:t xml:space="preserve">№ 84 </w:t>
      </w:r>
      <w:r>
        <w:rPr>
          <w:rStyle w:val="CharStyle7"/>
        </w:rPr>
        <w:t xml:space="preserve">от </w:t>
      </w:r>
      <w:r>
        <w:rPr>
          <w:rStyle w:val="CharStyle7"/>
          <w:lang w:val="en-US" w:eastAsia="en-US"/>
        </w:rPr>
        <w:t xml:space="preserve">10 </w:t>
      </w:r>
      <w:r>
        <w:rPr>
          <w:rStyle w:val="CharStyle7"/>
        </w:rPr>
        <w:t xml:space="preserve">марта </w:t>
      </w:r>
      <w:r>
        <w:rPr>
          <w:rStyle w:val="CharStyle7"/>
          <w:lang w:val="en-US" w:eastAsia="en-US"/>
        </w:rPr>
        <w:t xml:space="preserve">2026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исходя из анализа представленных коммерческих предложений Комиссия Управления, установила, что представленные коммерческие предложения содержат в себе, продукцию единственного производителя, а именно </w:t>
      </w:r>
      <w:r>
        <w:rPr>
          <w:rStyle w:val="CharStyle7"/>
          <w:lang w:val="en-US" w:eastAsia="en-US"/>
        </w:rPr>
        <w:t xml:space="preserve">- </w:t>
      </w:r>
      <w:r>
        <w:rPr>
          <w:rStyle w:val="CharStyle7"/>
        </w:rPr>
        <w:t xml:space="preserve">предложенный к поставке товар </w:t>
      </w:r>
      <w:r>
        <w:rPr>
          <w:rStyle w:val="CharStyle7"/>
          <w:lang w:val="en-US" w:eastAsia="en-US"/>
        </w:rPr>
        <w:t xml:space="preserve">- </w:t>
      </w:r>
      <w:r>
        <w:rPr>
          <w:rStyle w:val="CharStyle7"/>
        </w:rPr>
        <w:t xml:space="preserve">Датчик </w:t>
      </w:r>
      <w:r>
        <w:rPr>
          <w:rStyle w:val="CharStyle7"/>
          <w:lang w:val="en-US" w:eastAsia="en-US"/>
        </w:rPr>
        <w:t xml:space="preserve">10 </w:t>
      </w:r>
      <w:r>
        <w:rPr>
          <w:rStyle w:val="CharStyle7"/>
        </w:rPr>
        <w:t xml:space="preserve">МГц для </w:t>
      </w:r>
      <w:r>
        <w:rPr>
          <w:rStyle w:val="CharStyle7"/>
          <w:lang w:val="en-US" w:eastAsia="en-US"/>
        </w:rPr>
        <w:t xml:space="preserve">PacScan AP+ , </w:t>
      </w:r>
      <w:r>
        <w:rPr>
          <w:rStyle w:val="CharStyle7"/>
        </w:rPr>
        <w:t xml:space="preserve">для заднего сегмента, </w:t>
      </w:r>
      <w:r>
        <w:rPr>
          <w:rStyle w:val="CharStyle7"/>
          <w:lang w:val="en-US" w:eastAsia="en-US"/>
        </w:rPr>
        <w:t xml:space="preserve">Sonomed Inc., </w:t>
      </w:r>
      <w:r>
        <w:rPr>
          <w:rStyle w:val="CharStyle7"/>
        </w:rPr>
        <w:t>США.</w:t>
      </w:r>
    </w:p>
    <w:p>
      <w:pPr>
        <w:pStyle w:val="Style6"/>
        <w:keepNext w:val="0"/>
        <w:keepLines w:val="0"/>
        <w:widowControl w:val="0"/>
        <w:shd w:val="clear" w:color="auto" w:fill="auto"/>
        <w:bidi w:val="0"/>
        <w:spacing w:before="0" w:after="0" w:line="240" w:lineRule="auto"/>
        <w:ind w:left="0" w:right="0" w:firstLine="700"/>
        <w:jc w:val="both"/>
      </w:pPr>
      <w:r>
        <w:rPr>
          <w:rStyle w:val="CharStyle7"/>
        </w:rPr>
        <w:t>Иных документов, подтверждающих Заказчиком наличие двух различных производителей не представлено.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ст.33 Закона о контрактной системе содержит в себе закрытый перечень случаев, когда Заказчик вправе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Комиссия Управления считает необходимым отметить, что, в целях соблюдения требований ст.33 Закона о контрактной системе, Заказчику надлежит на момент публикации закупочной процедуры обладать сведениями о соответствии требованиям извещения изделий минимум двух различных производителей, либо о наличии обстоятельств, свидетельствующих о возможности закупки изделий с конкретным товарным знаком.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поскольку Заказчиком не представлено каких-либо документов и сведений, подтверждающих факт присутствия на рынке продукции товаров иных производителей, помимо указанного в жалобе, отвечающих совокупности всей установленных Заказчиком требований, равно как не представлено документов и сведений, подтверждающих, что в данном случае применимы условия отраженные в пп. «б» </w:t>
      </w:r>
      <w:r>
        <w:rPr>
          <w:rStyle w:val="CharStyle7"/>
          <w:lang w:val="en-US" w:eastAsia="en-US"/>
        </w:rPr>
        <w:t xml:space="preserve">- </w:t>
      </w:r>
      <w:r>
        <w:rPr>
          <w:rStyle w:val="CharStyle7"/>
        </w:rPr>
        <w:t>«г» п.1 ч.1 ст.33 Закона о контрактной системе, Комиссия Управления приходит к выводу об обоснованности данного довода жалобы и о нарушении Заказчиком положений п.1 ч.1 ст.33 Закона о контрактной системе при формировании описания объекта закупок, что содержит признаки состава административного правонарушения, ответственность за которое предусмотрена ч.6 ст.7.30.1 Кодекса Российской Федерации об административных правонарушениях.</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7"/>
        </w:numPr>
        <w:shd w:val="clear" w:color="auto" w:fill="auto"/>
        <w:tabs>
          <w:tab w:pos="1411"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7"/>
        </w:numPr>
        <w:shd w:val="clear" w:color="auto" w:fill="auto"/>
        <w:tabs>
          <w:tab w:pos="1411"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7"/>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в составе жалобы Заявителем не представлено документов и сведений, свидетельствующих о нарушении Заказчиком норм Закона о контрактной системе, а также не содержится указания на положения проекта контракта, которые, по мнению Заявителя, противоречат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w:t>
      </w:r>
    </w:p>
    <w:p>
      <w:pPr>
        <w:pStyle w:val="Style6"/>
        <w:keepNext w:val="0"/>
        <w:keepLines w:val="0"/>
        <w:widowControl w:val="0"/>
        <w:shd w:val="clear" w:color="auto" w:fill="auto"/>
        <w:bidi w:val="0"/>
        <w:spacing w:before="0" w:after="0" w:line="240" w:lineRule="auto"/>
        <w:ind w:left="0" w:right="0" w:firstLine="0"/>
        <w:jc w:val="both"/>
      </w:pPr>
      <w:r>
        <w:rPr>
          <w:rStyle w:val="CharStyle7"/>
        </w:rPr>
        <w:t>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sectPr>
          <w:headerReference w:type="default" r:id="rId16"/>
          <w:footerReference w:type="default" r:id="rId17"/>
          <w:footnotePr>
            <w:pos w:val="pageBottom"/>
            <w:numFmt w:val="decimal"/>
            <w:numRestart w:val="continuous"/>
          </w:footnotePr>
          <w:pgSz w:w="11900" w:h="16840"/>
          <w:pgMar w:top="1162" w:right="547" w:bottom="1114" w:left="1101"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9"/>
        </w:numPr>
        <w:shd w:val="clear" w:color="auto" w:fill="auto"/>
        <w:tabs>
          <w:tab w:pos="1016" w:val="left"/>
        </w:tabs>
        <w:bidi w:val="0"/>
        <w:spacing w:before="0" w:after="0" w:line="240" w:lineRule="auto"/>
        <w:ind w:left="0" w:right="0" w:firstLine="700"/>
        <w:jc w:val="both"/>
      </w:pPr>
      <w:r>
        <w:rPr>
          <w:rStyle w:val="CharStyle7"/>
        </w:rPr>
        <w:t>.Признать жалобу ИП Кравченко А.В. на действия ГБУЗ «ГКБ им. Ф.И. Иноземцева ДЗМ» обоснованной в части описания объекта закупки в нарушение положений Закона о контрактной системе.</w:t>
      </w:r>
    </w:p>
    <w:p>
      <w:pPr>
        <w:pStyle w:val="Style6"/>
        <w:keepNext w:val="0"/>
        <w:keepLines w:val="0"/>
        <w:widowControl w:val="0"/>
        <w:numPr>
          <w:ilvl w:val="0"/>
          <w:numId w:val="9"/>
        </w:numPr>
        <w:shd w:val="clear" w:color="auto" w:fill="auto"/>
        <w:tabs>
          <w:tab w:pos="1016" w:val="left"/>
        </w:tabs>
        <w:bidi w:val="0"/>
        <w:spacing w:before="0" w:after="0" w:line="240" w:lineRule="auto"/>
        <w:ind w:left="0" w:right="0" w:firstLine="700"/>
        <w:jc w:val="both"/>
      </w:pPr>
      <w:r>
        <w:rPr>
          <w:rStyle w:val="CharStyle7"/>
          <w:lang w:val="en-US" w:eastAsia="en-US"/>
        </w:rPr>
        <w:t xml:space="preserve">. </w:t>
      </w:r>
      <w:r>
        <w:rPr>
          <w:rStyle w:val="CharStyle7"/>
        </w:rPr>
        <w:t>Признать в действиях Заказчика нарушение п.1 ч.1 ст.33 Закона о контрактной системе.</w:t>
      </w:r>
    </w:p>
    <w:p>
      <w:pPr>
        <w:pStyle w:val="Style6"/>
        <w:keepNext w:val="0"/>
        <w:keepLines w:val="0"/>
        <w:widowControl w:val="0"/>
        <w:numPr>
          <w:ilvl w:val="0"/>
          <w:numId w:val="9"/>
        </w:numPr>
        <w:shd w:val="clear" w:color="auto" w:fill="auto"/>
        <w:tabs>
          <w:tab w:pos="992" w:val="left"/>
        </w:tabs>
        <w:bidi w:val="0"/>
        <w:spacing w:before="0" w:after="0" w:line="240" w:lineRule="auto"/>
        <w:ind w:left="0" w:right="0" w:firstLine="70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9"/>
        </w:numPr>
        <w:shd w:val="clear" w:color="auto" w:fill="auto"/>
        <w:tabs>
          <w:tab w:pos="944" w:val="left"/>
        </w:tabs>
        <w:bidi w:val="0"/>
        <w:spacing w:before="0" w:after="680" w:line="240" w:lineRule="auto"/>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504" w:left="1106" w:header="0" w:footer="3" w:gutter="0"/>
          <w:cols w:space="720"/>
          <w:noEndnote/>
          <w:rtlGutter w:val="0"/>
          <w:docGrid w:linePitch="360"/>
        </w:sectPr>
      </w:pPr>
      <w:r>
        <mc:AlternateContent>
          <mc:Choice Requires="wps">
            <w:drawing>
              <wp:anchor distT="546100" distB="216535" distL="0" distR="0" simplePos="0" relativeHeight="125829381" behindDoc="0" locked="0" layoutInCell="1" allowOverlap="1">
                <wp:simplePos x="0" y="0"/>
                <wp:positionH relativeFrom="page">
                  <wp:posOffset>739140</wp:posOffset>
                </wp:positionH>
                <wp:positionV relativeFrom="paragraph">
                  <wp:posOffset>546100</wp:posOffset>
                </wp:positionV>
                <wp:extent cx="1844040" cy="252730"/>
                <wp:wrapTopAndBottom/>
                <wp:docPr id="23" name="Shape 2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8.200000000000003pt;margin-top:43.pt;width:145.20000000000002pt;height:19.900000000000002pt;z-index:-125829372;mso-wrap-distance-left:0;mso-wrap-distance-top:43.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619125" distB="0" distL="0" distR="1786255" simplePos="0" relativeHeight="125829383" behindDoc="0" locked="0" layoutInCell="1" allowOverlap="1">
            <wp:simplePos x="0" y="0"/>
            <wp:positionH relativeFrom="page">
              <wp:posOffset>3229610</wp:posOffset>
            </wp:positionH>
            <wp:positionV relativeFrom="paragraph">
              <wp:posOffset>619125</wp:posOffset>
            </wp:positionV>
            <wp:extent cx="359410" cy="39624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8"/>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3649980</wp:posOffset>
                </wp:positionH>
                <wp:positionV relativeFrom="paragraph">
                  <wp:posOffset>707390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7.40000000000003pt;margin-top:55.700000000000003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46100" distB="216535" distL="0" distR="0" simplePos="0" relativeHeight="125829384" behindDoc="0" locked="0" layoutInCell="1" allowOverlap="1">
                <wp:simplePos x="0" y="0"/>
                <wp:positionH relativeFrom="page">
                  <wp:posOffset>5908675</wp:posOffset>
                </wp:positionH>
                <wp:positionV relativeFrom="paragraph">
                  <wp:posOffset>546100</wp:posOffset>
                </wp:positionV>
                <wp:extent cx="1307465" cy="252730"/>
                <wp:wrapTopAndBottom/>
                <wp:docPr id="29" name="Shape 29"/>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55" type="#_x0000_t202" style="position:absolute;margin-left:465.25pt;margin-top:43.pt;width:102.95pt;height:19.900000000000002pt;z-index:-125829369;mso-wrap-distance-left:0;mso-wrap-distance-top:43.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Кутейников Антон Андреевич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67950889C45403E5BD9EBC88A8D80C0D</w:t>
      </w:r>
    </w:p>
    <w:p>
      <w:pPr>
        <w:pStyle w:val="Style21"/>
        <w:keepNext w:val="0"/>
        <w:keepLines w:val="0"/>
        <w:widowControl w:val="0"/>
        <w:shd w:val="clear" w:color="auto" w:fill="auto"/>
        <w:bidi w:val="0"/>
        <w:spacing w:before="0" w:after="560" w:line="240" w:lineRule="auto"/>
        <w:ind w:right="0" w:firstLine="0"/>
        <w:jc w:val="left"/>
      </w:pPr>
      <w:r>
        <w:rPr>
          <w:rStyle w:val="CharStyle22"/>
        </w:rPr>
        <w:t xml:space="preserve">Действителен с 19.05.2025 </w:t>
      </w:r>
      <w:r>
        <w:rPr>
          <w:rStyle w:val="CharStyle22"/>
          <w:color w:val="5E5E5E"/>
        </w:rPr>
        <w:t xml:space="preserve">по </w:t>
      </w:r>
      <w:r>
        <w:rPr>
          <w:rStyle w:val="CharStyle22"/>
        </w:rPr>
        <w:t>12.08.2026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0" w:right="0" w:firstLine="0"/>
        <w:jc w:val="right"/>
      </w:pPr>
      <w:r>
        <w:drawing>
          <wp:anchor distT="0" distB="0" distL="114300" distR="1900555" simplePos="0" relativeHeight="125829386" behindDoc="0" locked="0" layoutInCell="1" allowOverlap="1">
            <wp:simplePos x="0" y="0"/>
            <wp:positionH relativeFrom="page">
              <wp:posOffset>3228975</wp:posOffset>
            </wp:positionH>
            <wp:positionV relativeFrom="paragraph">
              <wp:posOffset>63500</wp:posOffset>
            </wp:positionV>
            <wp:extent cx="359410" cy="39624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0"/>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3649345</wp:posOffset>
                </wp:positionH>
                <wp:positionV relativeFrom="paragraph">
                  <wp:posOffset>151765</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87.35000000000002pt;margin-top:11.950000000000001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Е.С. Переверзева</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ind w:right="0" w:firstLine="0"/>
        <w:jc w:val="left"/>
      </w:pPr>
      <w:r>
        <w:rPr>
          <w:rStyle w:val="CharStyle22"/>
        </w:rPr>
        <w:t xml:space="preserve">Кому выдан: </w:t>
      </w:r>
      <w:r>
        <w:rPr>
          <w:rStyle w:val="CharStyle22"/>
          <w:color w:val="000000"/>
        </w:rPr>
        <w:t>ПЕРЕВЕРЗЕВА ЕЛИЗАВЕТА СЕРГЕЕВНА</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lang w:val="en-US" w:eastAsia="en-US"/>
        </w:rPr>
        <w:t>00FFF3ACD3A01A73F4C680C3941</w:t>
      </w:r>
      <w:r>
        <w:rPr>
          <w:rStyle w:val="CharStyle22"/>
        </w:rPr>
        <w:t>ЕЗСА026</w:t>
      </w:r>
    </w:p>
    <w:p>
      <w:pPr>
        <w:pStyle w:val="Style21"/>
        <w:keepNext w:val="0"/>
        <w:keepLines w:val="0"/>
        <w:widowControl w:val="0"/>
        <w:shd w:val="clear" w:color="auto" w:fill="auto"/>
        <w:bidi w:val="0"/>
        <w:spacing w:before="0" w:after="560"/>
        <w:ind w:right="0" w:firstLine="0"/>
        <w:jc w:val="left"/>
      </w:pPr>
      <w:r>
        <w:rPr>
          <w:rStyle w:val="CharStyle22"/>
        </w:rPr>
        <w:t xml:space="preserve">Действителен с 11.12.2025 </w:t>
      </w:r>
      <w:r>
        <w:rPr>
          <w:rStyle w:val="CharStyle22"/>
          <w:color w:val="5E5E5E"/>
        </w:rPr>
        <w:t xml:space="preserve">по </w:t>
      </w:r>
      <w:r>
        <w:rPr>
          <w:rStyle w:val="CharStyle22"/>
        </w:rPr>
        <w:t>06.03.2027</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3195320</wp:posOffset>
            </wp:positionH>
            <wp:positionV relativeFrom="paragraph">
              <wp:posOffset>25400</wp:posOffset>
            </wp:positionV>
            <wp:extent cx="389890" cy="55499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2"/>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3691890</wp:posOffset>
                </wp:positionH>
                <wp:positionV relativeFrom="paragraph">
                  <wp:posOffset>464185</wp:posOffset>
                </wp:positionV>
                <wp:extent cx="1280160" cy="100330"/>
                <wp:wrapNone/>
                <wp:docPr id="37" name="Shape 3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90.69999999999999pt;margin-top:36.550000000000004pt;width:100.8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3649345</wp:posOffset>
                </wp:positionH>
                <wp:positionV relativeFrom="paragraph">
                  <wp:posOffset>147320</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87.35000000000002pt;margin-top:11.6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21"/>
        <w:keepNext w:val="0"/>
        <w:keepLines w:val="0"/>
        <w:widowControl w:val="0"/>
        <w:shd w:val="clear" w:color="auto" w:fill="auto"/>
        <w:bidi w:val="0"/>
        <w:spacing w:before="0" w:after="0"/>
        <w:ind w:right="0" w:firstLine="0"/>
        <w:jc w:val="left"/>
      </w:pPr>
      <w:r>
        <w:rPr>
          <w:rStyle w:val="CharStyle22"/>
        </w:rPr>
        <w:t xml:space="preserve">Кому выдан: </w:t>
      </w:r>
      <w:r>
        <w:rPr>
          <w:rStyle w:val="CharStyle22"/>
          <w:color w:val="000000"/>
        </w:rPr>
        <w:t>ГЕЛМУТДИНОВА АНАСТАСИЯ СЕРГЕЕВНА</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rPr>
        <w:t>723501СС21703599976371</w:t>
      </w:r>
      <w:r>
        <w:rPr>
          <w:rStyle w:val="CharStyle22"/>
          <w:lang w:val="en-US" w:eastAsia="en-US"/>
        </w:rPr>
        <w:t>4F5C652689</w:t>
      </w:r>
    </w:p>
    <w:p>
      <w:pPr>
        <w:pStyle w:val="Style21"/>
        <w:keepNext w:val="0"/>
        <w:keepLines w:val="0"/>
        <w:widowControl w:val="0"/>
        <w:shd w:val="clear" w:color="auto" w:fill="auto"/>
        <w:bidi w:val="0"/>
        <w:spacing w:before="0" w:after="1060"/>
        <w:ind w:right="0" w:firstLine="0"/>
        <w:jc w:val="left"/>
      </w:pPr>
      <w:r>
        <w:rPr>
          <w:rStyle w:val="CharStyle22"/>
        </w:rPr>
        <w:t xml:space="preserve">Действителен с 09.02.2026 </w:t>
      </w:r>
      <w:r>
        <w:rPr>
          <w:rStyle w:val="CharStyle22"/>
          <w:color w:val="5E5E5E"/>
        </w:rPr>
        <w:t xml:space="preserve">по </w:t>
      </w:r>
      <w:r>
        <w:rPr>
          <w:rStyle w:val="CharStyle22"/>
        </w:rPr>
        <w:t>05.05.2027</w:t>
      </w:r>
    </w:p>
    <w:p>
      <w:pPr>
        <w:pStyle w:val="Style26"/>
        <w:keepNext w:val="0"/>
        <w:keepLines w:val="0"/>
        <w:widowControl w:val="0"/>
        <w:shd w:val="clear" w:color="auto" w:fill="auto"/>
        <w:bidi w:val="0"/>
        <w:spacing w:before="0" w:line="240" w:lineRule="auto"/>
        <w:ind w:left="0" w:right="0" w:firstLine="0"/>
        <w:jc w:val="left"/>
      </w:pPr>
      <w:r>
        <w:rPr>
          <w:rStyle w:val="CharStyle27"/>
        </w:rPr>
        <w:t>Исп.Гелмутдинова А.С.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10217150</wp:posOffset>
              </wp:positionV>
              <wp:extent cx="697865" cy="103505"/>
              <wp:wrapNone/>
              <wp:docPr id="5" name="Shape 5"/>
              <a:graphic xmlns:a="http://schemas.openxmlformats.org/drawingml/2006/main">
                <a:graphicData uri="http://schemas.microsoft.com/office/word/2010/wordprocessingShape">
                  <wps:wsp>
                    <wps:cNvSpPr txBox="1"/>
                    <wps:spPr>
                      <a:xfrm>
                        <a:ext cx="69786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2026-23235</w:t>
                          </w:r>
                        </w:p>
                      </w:txbxContent>
                    </wps:txbx>
                    <wps:bodyPr wrap="none" lIns="0" tIns="0" rIns="0" bIns="0">
                      <a:spAutoFit/>
                    </wps:bodyPr>
                  </wps:wsp>
                </a:graphicData>
              </a:graphic>
            </wp:anchor>
          </w:drawing>
        </mc:Choice>
        <mc:Fallback>
          <w:pict>
            <v:shape id="_x0000_s1031" type="#_x0000_t202" style="position:absolute;margin-left:57.pt;margin-top:804.5pt;width:54.950000000000003pt;height:8.15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2026-23235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10092690</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2026-23235</w:t>
                          </w:r>
                        </w:p>
                      </w:txbxContent>
                    </wps:txbx>
                    <wps:bodyPr wrap="none" lIns="0" tIns="0" rIns="0" bIns="0">
                      <a:spAutoFit/>
                    </wps:bodyPr>
                  </wps:wsp>
                </a:graphicData>
              </a:graphic>
            </wp:anchor>
          </w:drawing>
        </mc:Choice>
        <mc:Fallback>
          <w:pict>
            <v:shape id="_x0000_s1035" type="#_x0000_t202" style="position:absolute;margin-left:57.200000000000003pt;margin-top:794.70000000000005pt;width:56.89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2026-23235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2026-23235</w:t>
                          </w:r>
                        </w:p>
                      </w:txbxContent>
                    </wps:txbx>
                    <wps:bodyPr wrap="none" lIns="0" tIns="0" rIns="0" bIns="0">
                      <a:spAutoFit/>
                    </wps:bodyPr>
                  </wps:wsp>
                </a:graphicData>
              </a:graphic>
            </wp:anchor>
          </w:drawing>
        </mc:Choice>
        <mc:Fallback>
          <w:pict>
            <v:shape id="_x0000_s1041" type="#_x0000_t202" style="position:absolute;margin-left:57.200000000000003pt;margin-top:794.70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2026-23235</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726440</wp:posOffset>
              </wp:positionH>
              <wp:positionV relativeFrom="page">
                <wp:posOffset>10092690</wp:posOffset>
              </wp:positionV>
              <wp:extent cx="722630" cy="103505"/>
              <wp:wrapNone/>
              <wp:docPr id="21" name="Shape 2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2026-23235</w:t>
                          </w:r>
                        </w:p>
                      </w:txbxContent>
                    </wps:txbx>
                    <wps:bodyPr wrap="none" lIns="0" tIns="0" rIns="0" bIns="0">
                      <a:spAutoFit/>
                    </wps:bodyPr>
                  </wps:wsp>
                </a:graphicData>
              </a:graphic>
            </wp:anchor>
          </w:drawing>
        </mc:Choice>
        <mc:Fallback>
          <w:pict>
            <v:shape id="_x0000_s1047" type="#_x0000_t202" style="position:absolute;margin-left:57.200000000000003pt;margin-top:794.70000000000005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2026-23235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3887470</wp:posOffset>
              </wp:positionH>
              <wp:positionV relativeFrom="page">
                <wp:posOffset>476250</wp:posOffset>
              </wp:positionV>
              <wp:extent cx="152400" cy="103505"/>
              <wp:wrapNone/>
              <wp:docPr id="7" name="Shape 7"/>
              <a:graphic xmlns:a="http://schemas.openxmlformats.org/drawingml/2006/main">
                <a:graphicData uri="http://schemas.microsoft.com/office/word/2010/wordprocessingShape">
                  <wps:wsp>
                    <wps:cNvSpPr txBox="1"/>
                    <wps:spPr>
                      <a:xfrm>
                        <a:ext cx="15240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6.10000000000002pt;margin-top:37.5pt;width:12.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473075</wp:posOffset>
              </wp:positionV>
              <wp:extent cx="33655" cy="106680"/>
              <wp:wrapNone/>
              <wp:docPr id="11" name="Shape 11"/>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9.25pt;margin-top:37.25pt;width:2.6499999999999999pt;height:8.40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3887470</wp:posOffset>
              </wp:positionH>
              <wp:positionV relativeFrom="page">
                <wp:posOffset>476250</wp:posOffset>
              </wp:positionV>
              <wp:extent cx="152400" cy="103505"/>
              <wp:wrapNone/>
              <wp:docPr id="13" name="Shape 13"/>
              <a:graphic xmlns:a="http://schemas.openxmlformats.org/drawingml/2006/main">
                <a:graphicData uri="http://schemas.microsoft.com/office/word/2010/wordprocessingShape">
                  <wps:wsp>
                    <wps:cNvSpPr txBox="1"/>
                    <wps:spPr>
                      <a:xfrm>
                        <a:ext cx="15240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10000000000002pt;margin-top:37.5pt;width:12.pt;height:8.1500000000000004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3927475</wp:posOffset>
              </wp:positionH>
              <wp:positionV relativeFrom="page">
                <wp:posOffset>473075</wp:posOffset>
              </wp:positionV>
              <wp:extent cx="33655" cy="106680"/>
              <wp:wrapNone/>
              <wp:docPr id="17" name="Shape 17"/>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9.25pt;margin-top:37.25pt;width:2.6499999999999999pt;height:8.40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3887470</wp:posOffset>
              </wp:positionH>
              <wp:positionV relativeFrom="page">
                <wp:posOffset>476250</wp:posOffset>
              </wp:positionV>
              <wp:extent cx="152400" cy="103505"/>
              <wp:wrapNone/>
              <wp:docPr id="19" name="Shape 19"/>
              <a:graphic xmlns:a="http://schemas.openxmlformats.org/drawingml/2006/main">
                <a:graphicData uri="http://schemas.microsoft.com/office/word/2010/wordprocessingShape">
                  <wps:wsp>
                    <wps:cNvSpPr txBox="1"/>
                    <wps:spPr>
                      <a:xfrm>
                        <a:ext cx="15240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10000000000002pt;margin-top:37.5pt;width:12.pt;height:8.1500000000000004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Heading #1_"/>
    <w:basedOn w:val="DefaultParagraphFont"/>
    <w:link w:val="Style13"/>
    <w:rPr>
      <w:rFonts w:ascii="Arial" w:eastAsia="Arial" w:hAnsi="Arial" w:cs="Arial"/>
      <w:b w:val="0"/>
      <w:bCs w:val="0"/>
      <w:i w:val="0"/>
      <w:iCs w:val="0"/>
      <w:smallCaps w:val="0"/>
      <w:strike w:val="0"/>
      <w:sz w:val="50"/>
      <w:szCs w:val="50"/>
      <w:u w:val="none"/>
      <w:lang w:val="en-US" w:eastAsia="en-US"/>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4)_"/>
    <w:basedOn w:val="DefaultParagraphFont"/>
    <w:link w:val="Style19"/>
    <w:rPr>
      <w:rFonts w:ascii="Georgia" w:eastAsia="Georgia" w:hAnsi="Georgia" w:cs="Georgia"/>
      <w:b w:val="0"/>
      <w:bCs w:val="0"/>
      <w:i w:val="0"/>
      <w:iCs w:val="0"/>
      <w:smallCaps w:val="0"/>
      <w:strike w:val="0"/>
      <w:color w:val="EBEBEB"/>
      <w:sz w:val="12"/>
      <w:szCs w:val="12"/>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34343"/>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Heading #1"/>
    <w:basedOn w:val="Normal"/>
    <w:link w:val="CharStyle14"/>
    <w:pPr>
      <w:widowControl w:val="0"/>
      <w:shd w:val="clear" w:color="auto" w:fill="auto"/>
      <w:spacing w:after="280"/>
      <w:ind w:firstLine="3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4)"/>
    <w:basedOn w:val="Normal"/>
    <w:link w:val="CharStyle20"/>
    <w:pPr>
      <w:widowControl w:val="0"/>
      <w:shd w:val="clear" w:color="auto" w:fill="auto"/>
      <w:spacing w:after="80"/>
      <w:ind w:left="4720"/>
    </w:pPr>
    <w:rPr>
      <w:rFonts w:ascii="Georgia" w:eastAsia="Georgia" w:hAnsi="Georgia" w:cs="Georgia"/>
      <w:b w:val="0"/>
      <w:bCs w:val="0"/>
      <w:i w:val="0"/>
      <w:iCs w:val="0"/>
      <w:smallCaps w:val="0"/>
      <w:strike w:val="0"/>
      <w:color w:val="EBEBEB"/>
      <w:sz w:val="12"/>
      <w:szCs w:val="12"/>
      <w:u w:val="none"/>
    </w:rPr>
  </w:style>
  <w:style w:type="paragraph" w:customStyle="1" w:styleId="Style21">
    <w:name w:val="Body text (2)"/>
    <w:basedOn w:val="Normal"/>
    <w:link w:val="CharStyle22"/>
    <w:pPr>
      <w:widowControl w:val="0"/>
      <w:shd w:val="clear" w:color="auto" w:fill="auto"/>
      <w:spacing w:line="266" w:lineRule="auto"/>
      <w:ind w:left="4000"/>
    </w:pPr>
    <w:rPr>
      <w:rFonts w:ascii="Arial" w:eastAsia="Arial" w:hAnsi="Arial" w:cs="Arial"/>
      <w:b w:val="0"/>
      <w:bCs w:val="0"/>
      <w:i w:val="0"/>
      <w:iCs w:val="0"/>
      <w:smallCaps w:val="0"/>
      <w:strike w:val="0"/>
      <w:color w:val="434343"/>
      <w:sz w:val="12"/>
      <w:szCs w:val="12"/>
      <w:u w:val="none"/>
    </w:rPr>
  </w:style>
  <w:style w:type="paragraph" w:customStyle="1" w:styleId="Style26">
    <w:name w:val="Body text (5)"/>
    <w:basedOn w:val="Normal"/>
    <w:link w:val="CharStyle27"/>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 Id="rId17" Type="http://schemas.openxmlformats.org/officeDocument/2006/relationships/footer" Target="footer6.xml"/><Relationship Id="rId18" Type="http://schemas.openxmlformats.org/officeDocument/2006/relationships/image" Target="media/image2.jpeg"/><Relationship Id="rId19" Type="http://schemas.openxmlformats.org/officeDocument/2006/relationships/image" Target="media/image2.jpeg" TargetMode="External"/><Relationship Id="rId20" Type="http://schemas.openxmlformats.org/officeDocument/2006/relationships/image" Target="media/image3.jpeg"/><Relationship Id="rId21" Type="http://schemas.openxmlformats.org/officeDocument/2006/relationships/image" Target="media/image3.jpeg" TargetMode="External"/><Relationship Id="rId22" Type="http://schemas.openxmlformats.org/officeDocument/2006/relationships/image" Target="media/image4.jpeg"/><Relationship Id="rId23" Type="http://schemas.openxmlformats.org/officeDocument/2006/relationships/image" Target="media/image4.jpeg" TargetMode="External"/></Relationships>
</file>