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w:t>
                            </w:r>
                            <w:r>
                              <w:rPr>
                                <w:rStyle w:val="CharStyle7"/>
                                <w:sz w:val="30"/>
                                <w:szCs w:val="30"/>
                                <w:u w:val="single"/>
                              </w:rPr>
                              <w:t>2026</w:t>
                            </w:r>
                            <w:r>
                              <w:fldChar w:fldCharType="end"/>
                            </w:r>
                            <w:r>
                              <w:rPr>
                                <w:rStyle w:val="CharStyle7"/>
                                <w:sz w:val="30"/>
                                <w:szCs w:val="30"/>
                              </w:rPr>
                              <w:tab/>
                              <w:t xml:space="preserve">№ </w:t>
                            </w:r>
                            <w:r>
                              <w:rPr>
                                <w:rStyle w:val="CharStyle7"/>
                                <w:sz w:val="30"/>
                                <w:szCs w:val="30"/>
                                <w:u w:val="single"/>
                              </w:rPr>
                              <w:t>20191/26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w:t>
                      </w:r>
                      <w:r>
                        <w:rPr>
                          <w:rStyle w:val="CharStyle7"/>
                          <w:sz w:val="30"/>
                          <w:szCs w:val="30"/>
                          <w:u w:val="single"/>
                        </w:rPr>
                        <w:t>2026</w:t>
                      </w:r>
                      <w:r>
                        <w:fldChar w:fldCharType="end"/>
                      </w:r>
                      <w:r>
                        <w:rPr>
                          <w:rStyle w:val="CharStyle7"/>
                          <w:sz w:val="30"/>
                          <w:szCs w:val="30"/>
                        </w:rPr>
                        <w:tab/>
                        <w:t xml:space="preserve">№ </w:t>
                      </w:r>
                      <w:r>
                        <w:rPr>
                          <w:rStyle w:val="CharStyle7"/>
                          <w:sz w:val="30"/>
                          <w:szCs w:val="30"/>
                          <w:u w:val="single"/>
                        </w:rPr>
                        <w:t>20191/26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705485</wp:posOffset>
                </wp:positionH>
                <wp:positionV relativeFrom="paragraph">
                  <wp:posOffset>4367530</wp:posOffset>
                </wp:positionV>
                <wp:extent cx="1322705" cy="655320"/>
                <wp:wrapSquare wrapText="right"/>
                <wp:docPr id="5" name="Shape 5"/>
                <a:graphic xmlns:a="http://schemas.openxmlformats.org/drawingml/2006/main">
                  <a:graphicData uri="http://schemas.microsoft.com/office/word/2010/wordprocessingShape">
                    <wps:wsp>
                      <wps:cNvSpPr txBox="1"/>
                      <wps:spPr>
                        <a:xfrm>
                          <a:ext cx="1322705" cy="65532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07.05.2026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wps:txbx>
                      <wps:bodyPr lIns="0" tIns="0" rIns="0" bIns="0">
                        <a:noAutoFit/>
                      </wps:bodyPr>
                    </wps:wsp>
                  </a:graphicData>
                </a:graphic>
              </wp:anchor>
            </w:drawing>
          </mc:Choice>
          <mc:Fallback>
            <w:pict>
              <v:shape id="_x0000_s1031" type="#_x0000_t202" style="position:absolute;margin-left:55.550000000000004pt;margin-top:343.90000000000003pt;width:104.15000000000001pt;height:51.600000000000001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07.05.2026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0" w:right="0" w:firstLine="300"/>
        <w:jc w:val="both"/>
      </w:pPr>
      <w:r>
        <w:rPr>
          <w:rStyle w:val="CharStyle7"/>
        </w:rPr>
        <w:t xml:space="preserve">ФГБУ «НМИЦ АГП им. В. И. Кулакова» Минздрава России </w:t>
      </w:r>
      <w:r>
        <w:fldChar w:fldCharType="begin"/>
      </w:r>
      <w:r>
        <w:rPr/>
        <w:instrText> HYPERLINK "mailto:tender@oparina4.ru" </w:instrText>
      </w:r>
      <w:r>
        <w:fldChar w:fldCharType="separate"/>
      </w:r>
      <w:r>
        <w:rPr>
          <w:rStyle w:val="CharStyle7"/>
          <w:lang w:val="en-US" w:eastAsia="en-US"/>
        </w:rPr>
        <w:t>tender@oparina4.ru</w:t>
      </w:r>
      <w:r>
        <w:fldChar w:fldCharType="end"/>
      </w:r>
    </w:p>
    <w:p>
      <w:pPr>
        <w:pStyle w:val="Style6"/>
        <w:keepNext w:val="0"/>
        <w:keepLines w:val="0"/>
        <w:widowControl w:val="0"/>
        <w:shd w:val="clear" w:color="auto" w:fill="auto"/>
        <w:bidi w:val="0"/>
        <w:spacing w:before="0" w:after="0" w:line="240" w:lineRule="auto"/>
        <w:ind w:left="0" w:right="0" w:firstLine="0"/>
        <w:jc w:val="left"/>
      </w:pPr>
      <w:r>
        <w:rPr>
          <w:rStyle w:val="CharStyle7"/>
        </w:rPr>
        <w:t>ООО «ЛАБ-СТ»</w:t>
      </w:r>
    </w:p>
    <w:p>
      <w:pPr>
        <w:pStyle w:val="Style6"/>
        <w:keepNext w:val="0"/>
        <w:keepLines w:val="0"/>
        <w:widowControl w:val="0"/>
        <w:shd w:val="clear" w:color="auto" w:fill="auto"/>
        <w:bidi w:val="0"/>
        <w:spacing w:before="0" w:after="280" w:line="240" w:lineRule="auto"/>
        <w:ind w:left="0" w:right="0" w:firstLine="0"/>
        <w:jc w:val="left"/>
      </w:pPr>
      <w:r>
        <w:fldChar w:fldCharType="begin"/>
      </w:r>
      <w:r>
        <w:rPr/>
        <w:instrText> HYPERLINK "mailto:lab.st.torgi26@mail.ru" </w:instrText>
      </w:r>
      <w:r>
        <w:fldChar w:fldCharType="separate"/>
      </w:r>
      <w:r>
        <w:rPr>
          <w:rStyle w:val="CharStyle7"/>
          <w:lang w:val="en-US" w:eastAsia="en-US"/>
        </w:rPr>
        <w:t>lab.st.torgi26@mail.ru</w:t>
      </w:r>
      <w:r>
        <w:fldChar w:fldCharType="end"/>
      </w:r>
    </w:p>
    <w:p>
      <w:pPr>
        <w:pStyle w:val="Style6"/>
        <w:keepNext w:val="0"/>
        <w:keepLines w:val="0"/>
        <w:widowControl w:val="0"/>
        <w:shd w:val="clear" w:color="auto" w:fill="auto"/>
        <w:bidi w:val="0"/>
        <w:spacing w:before="0" w:after="2020" w:line="240" w:lineRule="auto"/>
        <w:ind w:left="0" w:right="0" w:firstLine="0"/>
        <w:jc w:val="center"/>
      </w:pPr>
      <w:r>
        <w:rPr>
          <w:rStyle w:val="CharStyle7"/>
        </w:rPr>
        <w:t>ЭТП ТЭК-Торг</w:t>
        <w:br/>
      </w:r>
      <w:r>
        <w:fldChar w:fldCharType="begin"/>
      </w:r>
      <w:r>
        <w:rPr/>
        <w:instrText> HYPERLINK "mailto:help@tektorg.ru" </w:instrText>
      </w:r>
      <w:r>
        <w:fldChar w:fldCharType="separate"/>
      </w:r>
      <w:r>
        <w:rPr>
          <w:rStyle w:val="CharStyle7"/>
          <w:lang w:val="en-US" w:eastAsia="en-US"/>
        </w:rPr>
        <w:t>help@tektorg.ru</w:t>
      </w:r>
      <w:r>
        <w:fldChar w:fldCharType="end"/>
      </w:r>
    </w:p>
    <w:p>
      <w:pPr>
        <w:pStyle w:val="Style6"/>
        <w:keepNext w:val="0"/>
        <w:keepLines w:val="0"/>
        <w:widowControl w:val="0"/>
        <w:shd w:val="clear" w:color="auto" w:fill="auto"/>
        <w:bidi w:val="0"/>
        <w:spacing w:before="0" w:after="0" w:line="254"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54" w:lineRule="auto"/>
        <w:ind w:left="0" w:right="0" w:firstLine="0"/>
        <w:jc w:val="center"/>
      </w:pPr>
      <w:r>
        <w:rPr>
          <w:rStyle w:val="CharStyle7"/>
          <w:b/>
          <w:bCs/>
        </w:rPr>
        <w:t>по делу №077/06/105-5753/2026 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right"/>
      </w:pPr>
      <w:r>
        <w:rPr>
          <w:rStyle w:val="CharStyle7"/>
        </w:rPr>
        <w:t>Управления Федеральной антимонопольной службы по контролю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left"/>
      </w:pPr>
      <w:r>
        <w:rPr>
          <w:rStyle w:val="CharStyle7"/>
        </w:rPr>
        <w:t>(далее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представителя ФГБУ «НМИЦ АГП им. В. И. Кулакова» Минздрава России: А.И. Ляхова (по доверенности № 01-10/02 от 16.01.2026);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ООО «ЛАБ-СТ»,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380" w:line="240" w:lineRule="auto"/>
        <w:ind w:left="0" w:right="0" w:firstLine="720"/>
        <w:jc w:val="both"/>
      </w:pPr>
      <w:r>
        <w:rPr>
          <w:rStyle w:val="CharStyle7"/>
        </w:rPr>
        <w:t>рассмотрев жалобу ООО «ЛАБ-СТ» (далее —Заявитель) на действия ФГБУ «НМИЦ АГП им. В. И. Кулакова» Минздрава России (далее — Заказчик) при проведении электронного аукциона на право заключения государственного контракта на поставку лекарственных препаратов для медицинского применения МНН МИФЕПРИСТОН, ГИДРОКСИМЕТИЛХИНОКСАЛИНДИОКСИД (Закупка № 0373100013126000549) (далее — аукцион), в соответствии с Федеральным</w:t>
      </w:r>
    </w:p>
    <w:p>
      <w:pPr>
        <w:pStyle w:val="Style11"/>
        <w:keepNext/>
        <w:keepLines/>
        <w:widowControl w:val="0"/>
        <w:shd w:val="clear" w:color="auto" w:fill="auto"/>
        <w:bidi w:val="0"/>
        <w:spacing w:before="0" w:after="0" w:line="240" w:lineRule="auto"/>
        <w:ind w:left="0" w:right="0" w:firstLine="0"/>
        <w:jc w:val="both"/>
      </w:pPr>
      <w:bookmarkStart w:id="0" w:name="bookmark0"/>
      <w:r>
        <w:rPr>
          <w:rStyle w:val="CharStyle12"/>
        </w:rPr>
        <w:t>IIIIIIIIIIIIIIIIIIIIIIIIIIII</w:t>
      </w:r>
      <w:bookmarkEnd w:id="0"/>
    </w:p>
    <w:p>
      <w:pPr>
        <w:pStyle w:val="Style13"/>
        <w:keepNext w:val="0"/>
        <w:keepLines w:val="0"/>
        <w:widowControl w:val="0"/>
        <w:shd w:val="clear" w:color="auto" w:fill="auto"/>
        <w:bidi w:val="0"/>
        <w:spacing w:before="0" w:after="340" w:line="240" w:lineRule="auto"/>
        <w:ind w:left="0" w:right="0" w:firstLine="0"/>
        <w:jc w:val="both"/>
        <w:rPr>
          <w:sz w:val="24"/>
          <w:szCs w:val="24"/>
        </w:rPr>
        <w:sectPr>
          <w:footnotePr>
            <w:pos w:val="pageBottom"/>
            <w:numFmt w:val="decimal"/>
            <w:numRestart w:val="continuous"/>
          </w:footnotePr>
          <w:pgSz w:w="11900" w:h="16840"/>
          <w:pgMar w:top="294" w:right="541" w:bottom="294" w:left="1106" w:header="0" w:footer="3" w:gutter="0"/>
          <w:pgNumType w:start="1"/>
          <w:cols w:space="720"/>
          <w:noEndnote/>
          <w:rtlGutter w:val="0"/>
          <w:docGrid w:linePitch="360"/>
        </w:sectPr>
      </w:pPr>
      <w:r>
        <w:rPr>
          <w:rStyle w:val="CharStyle14"/>
          <w:sz w:val="24"/>
          <w:szCs w:val="24"/>
        </w:rPr>
        <w:t>2026-23374</w:t>
      </w:r>
    </w:p>
    <w:p>
      <w:pPr>
        <w:pStyle w:val="Style6"/>
        <w:keepNext w:val="0"/>
        <w:keepLines w:val="0"/>
        <w:widowControl w:val="0"/>
        <w:shd w:val="clear" w:color="auto" w:fill="auto"/>
        <w:bidi w:val="0"/>
        <w:spacing w:before="0" w:after="620"/>
        <w:ind w:left="0" w:right="0" w:firstLine="0"/>
        <w:jc w:val="both"/>
      </w:pPr>
      <w:r>
        <w:rPr>
          <w:rStyle w:val="CharStyle7"/>
        </w:rPr>
        <w:t xml:space="preserve">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59"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9"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9"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59" w:lineRule="auto"/>
        <w:ind w:left="0" w:right="0" w:firstLine="700"/>
        <w:jc w:val="both"/>
      </w:pPr>
      <w:r>
        <w:rPr>
          <w:rStyle w:val="CharStyle7"/>
        </w:rPr>
        <w:t>В составе жалобы Заявитель указывает, что Заказчиком установлены неправомерные требования к закупаемому лекарственному препарату.</w:t>
      </w:r>
    </w:p>
    <w:p>
      <w:pPr>
        <w:pStyle w:val="Style6"/>
        <w:keepNext w:val="0"/>
        <w:keepLines w:val="0"/>
        <w:widowControl w:val="0"/>
        <w:shd w:val="clear" w:color="auto" w:fill="auto"/>
        <w:bidi w:val="0"/>
        <w:spacing w:before="0" w:after="0" w:line="259" w:lineRule="auto"/>
        <w:ind w:left="0" w:right="0" w:firstLine="700"/>
        <w:jc w:val="both"/>
      </w:pPr>
      <w:r>
        <w:rPr>
          <w:rStyle w:val="CharStyle7"/>
        </w:rPr>
        <w:t>На основании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59"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460" w:line="259" w:lineRule="auto"/>
        <w:ind w:left="0" w:right="0" w:firstLine="700"/>
        <w:jc w:val="both"/>
        <w:sectPr>
          <w:headerReference w:type="default" r:id="rId7"/>
          <w:footerReference w:type="default" r:id="rId8"/>
          <w:footnotePr>
            <w:pos w:val="pageBottom"/>
            <w:numFmt w:val="decimal"/>
            <w:numRestart w:val="continuous"/>
          </w:footnotePr>
          <w:pgSz w:w="11900" w:h="16840"/>
          <w:pgMar w:top="1350" w:right="541" w:bottom="1350" w:left="1106" w:header="0" w:footer="3" w:gutter="0"/>
          <w:cols w:space="720"/>
          <w:noEndnote/>
          <w:rtlGutter w:val="0"/>
          <w:docGrid w:linePitch="360"/>
        </w:sectPr>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62" w:lineRule="auto"/>
        <w:ind w:left="0" w:right="0" w:firstLine="720"/>
        <w:jc w:val="both"/>
      </w:pPr>
      <w:r>
        <w:rPr>
          <w:rStyle w:val="CharStyle7"/>
        </w:rPr>
        <w:t>В силу п.6 ч.1 ст.33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пп.«г» п.2 ч.10 ст.24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ст.111.4 Закона о контрактной системе.</w:t>
      </w:r>
    </w:p>
    <w:p>
      <w:pPr>
        <w:pStyle w:val="Style6"/>
        <w:keepNext w:val="0"/>
        <w:keepLines w:val="0"/>
        <w:widowControl w:val="0"/>
        <w:shd w:val="clear" w:color="auto" w:fill="auto"/>
        <w:bidi w:val="0"/>
        <w:spacing w:before="0" w:after="0" w:line="262" w:lineRule="auto"/>
        <w:ind w:left="0" w:right="0" w:firstLine="720"/>
        <w:jc w:val="both"/>
      </w:pPr>
      <w:r>
        <w:rPr>
          <w:rStyle w:val="CharStyle7"/>
        </w:rPr>
        <w:t>Комиссией Управления установлено, что в описании объекта закупки извещения Заказчиком установлены в том числе следующие требования к необходимому лекарственному препарату:</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МНН МИФЕПРИСТОН:</w:t>
      </w:r>
    </w:p>
    <w:p>
      <w:pPr>
        <w:pStyle w:val="Style6"/>
        <w:keepNext w:val="0"/>
        <w:keepLines w:val="0"/>
        <w:widowControl w:val="0"/>
        <w:shd w:val="clear" w:color="auto" w:fill="auto"/>
        <w:bidi w:val="0"/>
        <w:spacing w:before="0" w:after="0" w:line="262" w:lineRule="auto"/>
        <w:ind w:left="0" w:right="0" w:firstLine="720"/>
        <w:jc w:val="both"/>
      </w:pPr>
      <w:r>
        <w:rPr>
          <w:rStyle w:val="CharStyle7"/>
          <w:i/>
          <w:iCs/>
          <w:lang w:val="en-US" w:eastAsia="en-US"/>
        </w:rPr>
        <w:t xml:space="preserve">21.20.10.173 : </w:t>
      </w:r>
      <w:r>
        <w:rPr>
          <w:rStyle w:val="CharStyle7"/>
          <w:i/>
          <w:iCs/>
        </w:rPr>
        <w:t>Гормоны половые21.20.10.173-00010</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Лекарственная форма: ТАБЛЕТКИ</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 xml:space="preserve">Дозировка: </w:t>
      </w:r>
      <w:r>
        <w:rPr>
          <w:rStyle w:val="CharStyle7"/>
          <w:i/>
          <w:iCs/>
          <w:lang w:val="en-US" w:eastAsia="en-US"/>
        </w:rPr>
        <w:t xml:space="preserve">200 </w:t>
      </w:r>
      <w:r>
        <w:rPr>
          <w:rStyle w:val="CharStyle7"/>
          <w:i/>
          <w:iCs/>
        </w:rPr>
        <w:t>мг</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МНН ГИДРОКСИМЕТИЛХИНОКСАЛИНДИОКСИД:</w:t>
      </w:r>
    </w:p>
    <w:p>
      <w:pPr>
        <w:pStyle w:val="Style6"/>
        <w:keepNext w:val="0"/>
        <w:keepLines w:val="0"/>
        <w:widowControl w:val="0"/>
        <w:shd w:val="clear" w:color="auto" w:fill="auto"/>
        <w:bidi w:val="0"/>
        <w:spacing w:before="0" w:after="0" w:line="262" w:lineRule="auto"/>
        <w:ind w:left="0" w:right="0" w:firstLine="720"/>
        <w:jc w:val="both"/>
      </w:pPr>
      <w:r>
        <w:rPr>
          <w:rStyle w:val="CharStyle7"/>
          <w:i/>
          <w:iCs/>
          <w:lang w:val="en-US" w:eastAsia="en-US"/>
        </w:rPr>
        <w:t xml:space="preserve">21.20.10.191: </w:t>
      </w:r>
      <w:r>
        <w:rPr>
          <w:rStyle w:val="CharStyle7"/>
          <w:i/>
          <w:iCs/>
        </w:rPr>
        <w:t xml:space="preserve">Препараты антибактериальные для системного использования </w:t>
      </w:r>
      <w:r>
        <w:rPr>
          <w:rStyle w:val="CharStyle7"/>
          <w:i/>
          <w:iCs/>
          <w:lang w:val="en-US" w:eastAsia="en-US"/>
        </w:rPr>
        <w:t>21.20.10.191-00079</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Лекарственная форма: КОНЦЕНТРАТ ДЛЯ ПРИГОТОВЛЕНИЯ РАСТВОРА ДЛЯ ИНФУЗИЙ</w:t>
      </w:r>
    </w:p>
    <w:p>
      <w:pPr>
        <w:pStyle w:val="Style6"/>
        <w:keepNext w:val="0"/>
        <w:keepLines w:val="0"/>
        <w:widowControl w:val="0"/>
        <w:shd w:val="clear" w:color="auto" w:fill="auto"/>
        <w:bidi w:val="0"/>
        <w:spacing w:before="0" w:after="0" w:line="262" w:lineRule="auto"/>
        <w:ind w:left="0" w:right="0" w:firstLine="720"/>
        <w:jc w:val="both"/>
      </w:pPr>
      <w:r>
        <w:rPr>
          <w:rStyle w:val="CharStyle7"/>
          <w:i/>
          <w:iCs/>
        </w:rPr>
        <w:t xml:space="preserve">Дозировка: </w:t>
      </w:r>
      <w:r>
        <w:rPr>
          <w:rStyle w:val="CharStyle7"/>
          <w:i/>
          <w:iCs/>
          <w:lang w:val="en-US" w:eastAsia="en-US"/>
        </w:rPr>
        <w:t xml:space="preserve">5 </w:t>
      </w:r>
      <w:r>
        <w:rPr>
          <w:rStyle w:val="CharStyle7"/>
          <w:i/>
          <w:iCs/>
        </w:rPr>
        <w:t>мг/мл</w:t>
      </w:r>
    </w:p>
    <w:p>
      <w:pPr>
        <w:pStyle w:val="Style6"/>
        <w:keepNext w:val="0"/>
        <w:keepLines w:val="0"/>
        <w:widowControl w:val="0"/>
        <w:shd w:val="clear" w:color="auto" w:fill="auto"/>
        <w:bidi w:val="0"/>
        <w:spacing w:before="0" w:after="0" w:line="262" w:lineRule="auto"/>
        <w:ind w:left="0" w:right="0" w:firstLine="720"/>
        <w:jc w:val="both"/>
      </w:pPr>
      <w:r>
        <w:rPr>
          <w:rStyle w:val="CharStyle7"/>
        </w:rPr>
        <w:t>Ч.5 ст.33 Закона о контрактной системе установлено, что особенности описания отдельных видов объектов закупок могут устанавливаться Правительством Российской Федерации.</w:t>
      </w:r>
    </w:p>
    <w:p>
      <w:pPr>
        <w:pStyle w:val="Style6"/>
        <w:keepNext w:val="0"/>
        <w:keepLines w:val="0"/>
        <w:widowControl w:val="0"/>
        <w:shd w:val="clear" w:color="auto" w:fill="auto"/>
        <w:bidi w:val="0"/>
        <w:spacing w:before="0" w:after="0" w:line="334" w:lineRule="auto"/>
        <w:ind w:left="0" w:right="0" w:firstLine="720"/>
        <w:jc w:val="both"/>
        <w:rPr>
          <w:sz w:val="24"/>
          <w:szCs w:val="24"/>
        </w:rPr>
        <w:sectPr>
          <w:headerReference w:type="default" r:id="rId9"/>
          <w:footerReference w:type="default" r:id="rId10"/>
          <w:footnotePr>
            <w:pos w:val="pageBottom"/>
            <w:numFmt w:val="decimal"/>
            <w:numRestart w:val="continuous"/>
          </w:footnotePr>
          <w:pgSz w:w="11900" w:h="16840"/>
          <w:pgMar w:top="1350" w:right="541" w:bottom="865" w:left="1077" w:header="0" w:footer="437" w:gutter="0"/>
          <w:cols w:space="720"/>
          <w:noEndnote/>
          <w:rtlGutter w:val="0"/>
          <w:docGrid w:linePitch="360"/>
        </w:sectPr>
      </w:pPr>
      <w:r>
        <w:rPr>
          <w:rStyle w:val="CharStyle7"/>
        </w:rPr>
        <w:t xml:space="preserve">Особенности описания лекарственных препаратов для медицинского применения, являющихся объектом закупки для обеспечения государственных и </w:t>
      </w:r>
      <w:r>
        <w:rPr>
          <w:rStyle w:val="CharStyle7"/>
          <w:sz w:val="24"/>
          <w:szCs w:val="24"/>
          <w:lang w:val="en-US" w:eastAsia="en-US"/>
        </w:rPr>
        <w:t>2026-23374</w:t>
      </w:r>
    </w:p>
    <w:p>
      <w:pPr>
        <w:pStyle w:val="Style6"/>
        <w:keepNext w:val="0"/>
        <w:keepLines w:val="0"/>
        <w:widowControl w:val="0"/>
        <w:shd w:val="clear" w:color="auto" w:fill="auto"/>
        <w:bidi w:val="0"/>
        <w:spacing w:before="0" w:after="0"/>
        <w:ind w:left="0" w:right="0" w:firstLine="0"/>
        <w:jc w:val="both"/>
      </w:pPr>
      <w:r>
        <w:rPr>
          <w:rStyle w:val="CharStyle7"/>
        </w:rPr>
        <w:t xml:space="preserve">муниципальных нужд (далее </w:t>
      </w:r>
      <w:r>
        <w:rPr>
          <w:rStyle w:val="CharStyle7"/>
          <w:lang w:val="en-US" w:eastAsia="en-US"/>
        </w:rPr>
        <w:t xml:space="preserve">- </w:t>
      </w:r>
      <w:r>
        <w:rPr>
          <w:rStyle w:val="CharStyle7"/>
        </w:rPr>
        <w:t xml:space="preserve">Особенности), утверждены постановлением Правительства Российской Федерации от </w:t>
      </w:r>
      <w:r>
        <w:rPr>
          <w:rStyle w:val="CharStyle7"/>
          <w:lang w:val="en-US" w:eastAsia="en-US"/>
        </w:rPr>
        <w:t xml:space="preserve">15 </w:t>
      </w:r>
      <w:r>
        <w:rPr>
          <w:rStyle w:val="CharStyle7"/>
        </w:rPr>
        <w:t xml:space="preserve">ноября </w:t>
      </w:r>
      <w:r>
        <w:rPr>
          <w:rStyle w:val="CharStyle7"/>
          <w:lang w:val="en-US" w:eastAsia="en-US"/>
        </w:rPr>
        <w:t xml:space="preserve">2017 </w:t>
      </w:r>
      <w:r>
        <w:rPr>
          <w:rStyle w:val="CharStyle7"/>
        </w:rPr>
        <w:t xml:space="preserve">г. </w:t>
      </w:r>
      <w:r>
        <w:rPr>
          <w:rStyle w:val="CharStyle7"/>
          <w:lang w:val="en-US" w:eastAsia="en-US"/>
        </w:rPr>
        <w:t xml:space="preserve">№ 1380 </w:t>
      </w:r>
      <w:r>
        <w:rPr>
          <w:rStyle w:val="CharStyle7"/>
        </w:rPr>
        <w:t xml:space="preserve">«Об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 1380) </w:t>
      </w:r>
      <w:r>
        <w:rPr>
          <w:rStyle w:val="CharStyle7"/>
        </w:rPr>
        <w:t xml:space="preserve">Согласно пп. «а» п. </w:t>
      </w:r>
      <w:r>
        <w:rPr>
          <w:rStyle w:val="CharStyle7"/>
          <w:lang w:val="en-US" w:eastAsia="en-US"/>
        </w:rPr>
        <w:t xml:space="preserve">2 </w:t>
      </w:r>
      <w:r>
        <w:rPr>
          <w:rStyle w:val="CharStyle7"/>
        </w:rPr>
        <w:t xml:space="preserve">Особенностей, утвержденных постановлением Правительства Российской Федерации от </w:t>
      </w:r>
      <w:r>
        <w:rPr>
          <w:rStyle w:val="CharStyle7"/>
          <w:lang w:val="en-US" w:eastAsia="en-US"/>
        </w:rPr>
        <w:t xml:space="preserve">15 </w:t>
      </w:r>
      <w:r>
        <w:rPr>
          <w:rStyle w:val="CharStyle7"/>
        </w:rPr>
        <w:t xml:space="preserve">ноября </w:t>
      </w:r>
      <w:r>
        <w:rPr>
          <w:rStyle w:val="CharStyle7"/>
          <w:lang w:val="en-US" w:eastAsia="en-US"/>
        </w:rPr>
        <w:t xml:space="preserve">2017 </w:t>
      </w:r>
      <w:r>
        <w:rPr>
          <w:rStyle w:val="CharStyle7"/>
        </w:rPr>
        <w:t xml:space="preserve">г. </w:t>
      </w:r>
      <w:r>
        <w:rPr>
          <w:rStyle w:val="CharStyle7"/>
          <w:lang w:val="en-US" w:eastAsia="en-US"/>
        </w:rPr>
        <w:t xml:space="preserve">№ 1380 </w:t>
      </w:r>
      <w:r>
        <w:rPr>
          <w:rStyle w:val="CharStyle7"/>
        </w:rPr>
        <w:t xml:space="preserve">при описании объекта закупки заказчики помимо сведений, предусмотренных п. </w:t>
      </w:r>
      <w:r>
        <w:rPr>
          <w:rStyle w:val="CharStyle7"/>
          <w:lang w:val="en-US" w:eastAsia="en-US"/>
        </w:rPr>
        <w:t xml:space="preserve">6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33 </w:t>
      </w:r>
      <w:r>
        <w:rPr>
          <w:rStyle w:val="CharStyle7"/>
        </w:rPr>
        <w:t>Закона о контрактной системе, указывают 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pPr>
        <w:pStyle w:val="Style6"/>
        <w:keepNext w:val="0"/>
        <w:keepLines w:val="0"/>
        <w:widowControl w:val="0"/>
        <w:shd w:val="clear" w:color="auto" w:fill="auto"/>
        <w:bidi w:val="0"/>
        <w:spacing w:before="0" w:after="0"/>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15.11.2017 №1380 </w:t>
      </w:r>
      <w:r>
        <w:rPr>
          <w:rStyle w:val="CharStyle7"/>
        </w:rPr>
        <w:t xml:space="preserve">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w:t>
      </w:r>
      <w:r>
        <w:rPr>
          <w:rStyle w:val="CharStyle7"/>
          <w:lang w:val="en-US" w:eastAsia="en-US"/>
        </w:rPr>
        <w:t xml:space="preserve">- </w:t>
      </w:r>
      <w:r>
        <w:rPr>
          <w:rStyle w:val="CharStyle7"/>
        </w:rPr>
        <w:t>Особенности).</w:t>
      </w:r>
    </w:p>
    <w:p>
      <w:pPr>
        <w:pStyle w:val="Style6"/>
        <w:keepNext w:val="0"/>
        <w:keepLines w:val="0"/>
        <w:widowControl w:val="0"/>
        <w:shd w:val="clear" w:color="auto" w:fill="auto"/>
        <w:bidi w:val="0"/>
        <w:spacing w:before="0" w:after="0"/>
        <w:ind w:left="0" w:right="0" w:firstLine="700"/>
        <w:jc w:val="both"/>
      </w:pPr>
      <w:r>
        <w:rPr>
          <w:rStyle w:val="CharStyle7"/>
        </w:rPr>
        <w:t xml:space="preserve">В соответствии с п.2 Особенностей при описании объекта закупки заказчики помимо сведений, предусмотренных п. </w:t>
      </w:r>
      <w:r>
        <w:rPr>
          <w:rStyle w:val="CharStyle7"/>
          <w:lang w:val="en-US" w:eastAsia="en-US"/>
        </w:rPr>
        <w:t xml:space="preserve">6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33 </w:t>
      </w:r>
      <w:r>
        <w:rPr>
          <w:rStyle w:val="CharStyle7"/>
        </w:rPr>
        <w:t>Закона о контрактной системе, указывают:</w:t>
      </w:r>
    </w:p>
    <w:p>
      <w:pPr>
        <w:pStyle w:val="Style6"/>
        <w:keepNext w:val="0"/>
        <w:keepLines w:val="0"/>
        <w:widowControl w:val="0"/>
        <w:numPr>
          <w:ilvl w:val="0"/>
          <w:numId w:val="1"/>
        </w:numPr>
        <w:shd w:val="clear" w:color="auto" w:fill="auto"/>
        <w:tabs>
          <w:tab w:pos="1075" w:val="left"/>
        </w:tabs>
        <w:bidi w:val="0"/>
        <w:spacing w:before="0" w:after="0"/>
        <w:ind w:left="0" w:right="0" w:firstLine="700"/>
        <w:jc w:val="both"/>
      </w:pPr>
      <w:r>
        <w:rPr>
          <w:rStyle w:val="CharStyle7"/>
        </w:rPr>
        <w:t>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pPr>
        <w:pStyle w:val="Style6"/>
        <w:keepNext w:val="0"/>
        <w:keepLines w:val="0"/>
        <w:widowControl w:val="0"/>
        <w:numPr>
          <w:ilvl w:val="0"/>
          <w:numId w:val="1"/>
        </w:numPr>
        <w:shd w:val="clear" w:color="auto" w:fill="auto"/>
        <w:tabs>
          <w:tab w:pos="1075" w:val="left"/>
        </w:tabs>
        <w:bidi w:val="0"/>
        <w:spacing w:before="0" w:after="0"/>
        <w:ind w:left="0" w:right="0" w:firstLine="700"/>
        <w:jc w:val="both"/>
      </w:pPr>
      <w:r>
        <w:rPr>
          <w:rStyle w:val="CharStyle7"/>
        </w:rPr>
        <w:t xml:space="preserve">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7"/>
          <w:lang w:val="en-US" w:eastAsia="en-US"/>
        </w:rPr>
        <w:t xml:space="preserve">300 </w:t>
      </w:r>
      <w:r>
        <w:rPr>
          <w:rStyle w:val="CharStyle7"/>
        </w:rPr>
        <w:t xml:space="preserve">мг указывается: </w:t>
      </w:r>
      <w:r>
        <w:rPr>
          <w:rStyle w:val="CharStyle7"/>
          <w:lang w:val="en-US" w:eastAsia="en-US"/>
        </w:rPr>
        <w:t xml:space="preserve">1 </w:t>
      </w:r>
      <w:r>
        <w:rPr>
          <w:rStyle w:val="CharStyle7"/>
        </w:rPr>
        <w:t xml:space="preserve">таблетка с дозировкой </w:t>
      </w:r>
      <w:r>
        <w:rPr>
          <w:rStyle w:val="CharStyle7"/>
          <w:lang w:val="en-US" w:eastAsia="en-US"/>
        </w:rPr>
        <w:t xml:space="preserve">300 </w:t>
      </w:r>
      <w:r>
        <w:rPr>
          <w:rStyle w:val="CharStyle7"/>
        </w:rPr>
        <w:t xml:space="preserve">мг или </w:t>
      </w:r>
      <w:r>
        <w:rPr>
          <w:rStyle w:val="CharStyle7"/>
          <w:lang w:val="en-US" w:eastAsia="en-US"/>
        </w:rPr>
        <w:t xml:space="preserve">2 </w:t>
      </w:r>
      <w:r>
        <w:rPr>
          <w:rStyle w:val="CharStyle7"/>
        </w:rPr>
        <w:t xml:space="preserve">таблетки с дозировкой </w:t>
      </w:r>
      <w:r>
        <w:rPr>
          <w:rStyle w:val="CharStyle7"/>
          <w:lang w:val="en-US" w:eastAsia="en-US"/>
        </w:rPr>
        <w:t xml:space="preserve">150 </w:t>
      </w:r>
      <w:r>
        <w:rPr>
          <w:rStyle w:val="CharStyle7"/>
        </w:rPr>
        <w:t xml:space="preserve">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7"/>
          <w:lang w:val="en-US" w:eastAsia="en-US"/>
        </w:rPr>
        <w:t xml:space="preserve">2,5 </w:t>
      </w:r>
      <w:r>
        <w:rPr>
          <w:rStyle w:val="CharStyle7"/>
        </w:rPr>
        <w:t xml:space="preserve">мг, или </w:t>
      </w:r>
      <w:r>
        <w:rPr>
          <w:rStyle w:val="CharStyle7"/>
          <w:lang w:val="en-US" w:eastAsia="en-US"/>
        </w:rPr>
        <w:t xml:space="preserve">3 </w:t>
      </w:r>
      <w:r>
        <w:rPr>
          <w:rStyle w:val="CharStyle7"/>
        </w:rPr>
        <w:t xml:space="preserve">мг, или </w:t>
      </w:r>
      <w:r>
        <w:rPr>
          <w:rStyle w:val="CharStyle7"/>
          <w:lang w:val="en-US" w:eastAsia="en-US"/>
        </w:rPr>
        <w:t xml:space="preserve">3,5 </w:t>
      </w:r>
      <w:r>
        <w:rPr>
          <w:rStyle w:val="CharStyle7"/>
        </w:rPr>
        <w:t>мг), допускается указание концентрации лекарственного препарата без установления кратности;</w:t>
      </w:r>
    </w:p>
    <w:p>
      <w:pPr>
        <w:pStyle w:val="Style6"/>
        <w:keepNext w:val="0"/>
        <w:keepLines w:val="0"/>
        <w:widowControl w:val="0"/>
        <w:numPr>
          <w:ilvl w:val="0"/>
          <w:numId w:val="1"/>
        </w:numPr>
        <w:shd w:val="clear" w:color="auto" w:fill="auto"/>
        <w:tabs>
          <w:tab w:pos="1075" w:val="left"/>
        </w:tabs>
        <w:bidi w:val="0"/>
        <w:spacing w:before="0" w:after="0"/>
        <w:ind w:left="0" w:right="0" w:firstLine="700"/>
        <w:jc w:val="both"/>
      </w:pPr>
      <w:r>
        <w:rPr>
          <w:rStyle w:val="CharStyle7"/>
        </w:rPr>
        <w:t xml:space="preserve">остаточный срок годности лекарственного препарата, выраженный в единицах измерения времени (например, «не ранее </w:t>
      </w:r>
      <w:r>
        <w:rPr>
          <w:rStyle w:val="CharStyle7"/>
          <w:lang w:val="en-US" w:eastAsia="en-US"/>
        </w:rPr>
        <w:t xml:space="preserve">1 </w:t>
      </w:r>
      <w:r>
        <w:rPr>
          <w:rStyle w:val="CharStyle7"/>
        </w:rPr>
        <w:t xml:space="preserve">января </w:t>
      </w:r>
      <w:r>
        <w:rPr>
          <w:rStyle w:val="CharStyle7"/>
          <w:lang w:val="en-US" w:eastAsia="en-US"/>
        </w:rPr>
        <w:t xml:space="preserve">2020 </w:t>
      </w:r>
      <w:r>
        <w:rPr>
          <w:rStyle w:val="CharStyle7"/>
        </w:rPr>
        <w:t xml:space="preserve">г.» или «не менее </w:t>
      </w:r>
      <w:r>
        <w:rPr>
          <w:rStyle w:val="CharStyle7"/>
          <w:lang w:val="en-US" w:eastAsia="en-US"/>
        </w:rPr>
        <w:t xml:space="preserve">12 </w:t>
      </w:r>
      <w:r>
        <w:rPr>
          <w:rStyle w:val="CharStyle7"/>
        </w:rPr>
        <w:t>месяцев с даты заключения контракта» и др.).</w:t>
      </w:r>
    </w:p>
    <w:p>
      <w:pPr>
        <w:pStyle w:val="Style6"/>
        <w:keepNext w:val="0"/>
        <w:keepLines w:val="0"/>
        <w:widowControl w:val="0"/>
        <w:shd w:val="clear" w:color="auto" w:fill="auto"/>
        <w:bidi w:val="0"/>
        <w:spacing w:before="0" w:after="0"/>
        <w:ind w:left="0" w:right="0" w:firstLine="700"/>
        <w:jc w:val="both"/>
      </w:pPr>
      <w:r>
        <w:rPr>
          <w:rStyle w:val="CharStyle7"/>
        </w:rPr>
        <w:t xml:space="preserve">Постановлением Правительства РФ от </w:t>
      </w:r>
      <w:r>
        <w:rPr>
          <w:rStyle w:val="CharStyle7"/>
          <w:lang w:val="en-US" w:eastAsia="en-US"/>
        </w:rPr>
        <w:t xml:space="preserve">09.02.2022 № 140 </w:t>
      </w:r>
      <w:r>
        <w:rPr>
          <w:rStyle w:val="CharStyle7"/>
        </w:rPr>
        <w:t xml:space="preserve">«О единой государственной информационной системе в сфере здравоохранения»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№140) </w:t>
      </w:r>
      <w:r>
        <w:rPr>
          <w:rStyle w:val="CharStyle7"/>
        </w:rPr>
        <w:t xml:space="preserve">утверждено Положение о единой государственной информационной системе в сфере здравоохранения (далее </w:t>
      </w:r>
      <w:r>
        <w:rPr>
          <w:rStyle w:val="CharStyle7"/>
          <w:lang w:val="en-US" w:eastAsia="en-US"/>
        </w:rPr>
        <w:t xml:space="preserve">— </w:t>
      </w:r>
      <w:r>
        <w:rPr>
          <w:rStyle w:val="CharStyle7"/>
        </w:rPr>
        <w:t>Положение).</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пп.«б» п.20 раздела </w:t>
      </w:r>
      <w:r>
        <w:rPr>
          <w:rStyle w:val="CharStyle7"/>
          <w:lang w:val="en-US" w:eastAsia="en-US"/>
        </w:rPr>
        <w:t xml:space="preserve">III </w:t>
      </w:r>
      <w:r>
        <w:rPr>
          <w:rStyle w:val="CharStyle7"/>
        </w:rPr>
        <w:t>Положения подсистема ведения реестров</w:t>
      </w:r>
    </w:p>
    <w:p>
      <w:pPr>
        <w:pStyle w:val="Style6"/>
        <w:keepNext w:val="0"/>
        <w:keepLines w:val="0"/>
        <w:widowControl w:val="0"/>
        <w:shd w:val="clear" w:color="auto" w:fill="auto"/>
        <w:bidi w:val="0"/>
        <w:spacing w:before="0" w:after="0"/>
        <w:ind w:left="0" w:right="0" w:firstLine="0"/>
        <w:jc w:val="both"/>
      </w:pPr>
      <w:r>
        <w:rPr>
          <w:rStyle w:val="CharStyle7"/>
        </w:rPr>
        <w:t xml:space="preserve">лекарственных препаратов для медицинского применения обеспечивает формирование единого структурированного справочника-каталога лекарственных препаратов для медицинского применения на основании сведений государственного реестра лекарственных средств для медицинского применения,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в том числе в целях формирования каталога товаров, работ, услуг для обеспечения государственных и муниципальных нужд. Информация, содержащаяся в едином структурированном справочнике-каталоге лекарственных препаратов (далее </w:t>
      </w:r>
      <w:r>
        <w:rPr>
          <w:rStyle w:val="CharStyle7"/>
          <w:lang w:val="en-US" w:eastAsia="en-US"/>
        </w:rPr>
        <w:t xml:space="preserve">– </w:t>
      </w:r>
      <w:r>
        <w:rPr>
          <w:rStyle w:val="CharStyle7"/>
        </w:rPr>
        <w:t>ЕСКЛП) для медицинского применения, является публичной.</w:t>
      </w:r>
    </w:p>
    <w:p>
      <w:pPr>
        <w:pStyle w:val="Style6"/>
        <w:keepNext w:val="0"/>
        <w:keepLines w:val="0"/>
        <w:widowControl w:val="0"/>
        <w:shd w:val="clear" w:color="auto" w:fill="auto"/>
        <w:bidi w:val="0"/>
        <w:spacing w:before="0" w:after="0"/>
        <w:ind w:left="0" w:right="0" w:firstLine="700"/>
        <w:jc w:val="both"/>
      </w:pPr>
      <w:r>
        <w:rPr>
          <w:rStyle w:val="CharStyle7"/>
        </w:rPr>
        <w:t>Исходя из вышеизложенного, сведения ЕСКЛП формируются на основании информации, указанной в государственном реестре лекарственных средств.</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Письму Минздрава России от </w:t>
      </w:r>
      <w:r>
        <w:rPr>
          <w:rStyle w:val="CharStyle7"/>
          <w:lang w:val="en-US" w:eastAsia="en-US"/>
        </w:rPr>
        <w:t xml:space="preserve">17.11.2020 </w:t>
      </w:r>
      <w:r>
        <w:rPr>
          <w:rStyle w:val="CharStyle7"/>
        </w:rPr>
        <w:t>№18-2/И/2-17599 «О применении ЕСКЛП в ЕИС» сведения из ЕСКЛП необходимо применять как на этапе подготовки документации о закупке лекарственных препаратов, так и на этапе заключения и исполнения контракта на поставку лекарственных препаратов.</w:t>
      </w:r>
    </w:p>
    <w:p>
      <w:pPr>
        <w:pStyle w:val="Style6"/>
        <w:keepNext w:val="0"/>
        <w:keepLines w:val="0"/>
        <w:widowControl w:val="0"/>
        <w:shd w:val="clear" w:color="auto" w:fill="auto"/>
        <w:bidi w:val="0"/>
        <w:spacing w:before="0" w:after="0"/>
        <w:ind w:left="0" w:right="0" w:firstLine="700"/>
        <w:jc w:val="both"/>
      </w:pPr>
      <w:r>
        <w:rPr>
          <w:rStyle w:val="CharStyle7"/>
        </w:rPr>
        <w:t xml:space="preserve">На этапе подготовки документации о закупке лекарственных препаратов в соответствии с приказом Минздрава России от </w:t>
      </w:r>
      <w:r>
        <w:rPr>
          <w:rStyle w:val="CharStyle7"/>
          <w:lang w:val="en-US" w:eastAsia="en-US"/>
        </w:rPr>
        <w:t xml:space="preserve">19 </w:t>
      </w:r>
      <w:r>
        <w:rPr>
          <w:rStyle w:val="CharStyle7"/>
        </w:rPr>
        <w:t xml:space="preserve">декабря </w:t>
      </w:r>
      <w:r>
        <w:rPr>
          <w:rStyle w:val="CharStyle7"/>
          <w:lang w:val="en-US" w:eastAsia="en-US"/>
        </w:rPr>
        <w:t xml:space="preserve">2019 </w:t>
      </w:r>
      <w:r>
        <w:rPr>
          <w:rStyle w:val="CharStyle7"/>
        </w:rPr>
        <w:t>г.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предусмотрен расчет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с использованием сведений ЕСКЛП.</w:t>
      </w:r>
    </w:p>
    <w:p>
      <w:pPr>
        <w:pStyle w:val="Style6"/>
        <w:keepNext w:val="0"/>
        <w:keepLines w:val="0"/>
        <w:widowControl w:val="0"/>
        <w:shd w:val="clear" w:color="auto" w:fill="auto"/>
        <w:bidi w:val="0"/>
        <w:spacing w:before="0" w:after="0"/>
        <w:ind w:left="0" w:right="0" w:firstLine="700"/>
        <w:jc w:val="both"/>
      </w:pPr>
      <w:r>
        <w:rPr>
          <w:rStyle w:val="CharStyle7"/>
        </w:rPr>
        <w:t xml:space="preserve">Кроме того, Комиссия Управления также отмечает, что письмом Министерства здравоохранения Российской Федерации от </w:t>
      </w:r>
      <w:r>
        <w:rPr>
          <w:rStyle w:val="CharStyle7"/>
          <w:lang w:val="en-US" w:eastAsia="en-US"/>
        </w:rPr>
        <w:t xml:space="preserve">17.11.2020 № </w:t>
      </w:r>
      <w:r>
        <w:rPr>
          <w:rStyle w:val="CharStyle7"/>
        </w:rPr>
        <w:t xml:space="preserve">18-2/И/2-17599 до участников контрактной системы доведено, что с </w:t>
      </w:r>
      <w:r>
        <w:rPr>
          <w:rStyle w:val="CharStyle7"/>
          <w:lang w:val="en-US" w:eastAsia="en-US"/>
        </w:rPr>
        <w:t xml:space="preserve">21.12.2020 </w:t>
      </w:r>
      <w:r>
        <w:rPr>
          <w:rStyle w:val="CharStyle7"/>
        </w:rPr>
        <w:t>все Заказчики должны перейти на обязательное применение ЕСКЛП в Единой информационной системе в сфере закупок.</w:t>
      </w:r>
    </w:p>
    <w:p>
      <w:pPr>
        <w:pStyle w:val="Style6"/>
        <w:keepNext w:val="0"/>
        <w:keepLines w:val="0"/>
        <w:widowControl w:val="0"/>
        <w:shd w:val="clear" w:color="auto" w:fill="auto"/>
        <w:bidi w:val="0"/>
        <w:spacing w:before="0" w:after="0"/>
        <w:ind w:left="0" w:right="0" w:firstLine="700"/>
        <w:jc w:val="both"/>
      </w:pPr>
      <w:r>
        <w:rPr>
          <w:rStyle w:val="CharStyle7"/>
        </w:rPr>
        <w:t xml:space="preserve">По мнению Заявителя, согласно сведениям из государственного реестра лекарственных средств, лекарственный препарат </w:t>
      </w:r>
      <w:r>
        <w:rPr>
          <w:rStyle w:val="CharStyle7"/>
          <w:lang w:val="en-US" w:eastAsia="en-US"/>
        </w:rPr>
        <w:t xml:space="preserve">– </w:t>
      </w:r>
      <w:r>
        <w:rPr>
          <w:rStyle w:val="CharStyle7"/>
        </w:rPr>
        <w:t xml:space="preserve">МНН ГИДРОКСИМЕТИЛХИНОКСАЛИНДИОКСИД с лекарственной формой «КОНЦЕНТРАТ ДЛЯ ПРИГОТОВЛЕНИЯ РАСТВОРА ДЛЯ ИНФУЗИЙ» производился только ООО </w:t>
      </w:r>
      <w:r>
        <w:rPr>
          <w:rStyle w:val="CharStyle7"/>
          <w:lang w:val="en-US" w:eastAsia="en-US"/>
        </w:rPr>
        <w:t xml:space="preserve">«Тривиум-XXI», </w:t>
      </w:r>
      <w:r>
        <w:rPr>
          <w:rStyle w:val="CharStyle7"/>
        </w:rPr>
        <w:t xml:space="preserve">регистрационное удостоверение №ЛП </w:t>
      </w:r>
      <w:r>
        <w:rPr>
          <w:rStyle w:val="CharStyle7"/>
          <w:lang w:val="en-US" w:eastAsia="en-US"/>
        </w:rPr>
        <w:t xml:space="preserve">003599 </w:t>
      </w:r>
      <w:r>
        <w:rPr>
          <w:rStyle w:val="CharStyle7"/>
        </w:rPr>
        <w:t xml:space="preserve">от </w:t>
      </w:r>
      <w:r>
        <w:rPr>
          <w:rStyle w:val="CharStyle7"/>
          <w:lang w:val="en-US" w:eastAsia="en-US"/>
        </w:rPr>
        <w:t xml:space="preserve">04.05.2016, </w:t>
      </w:r>
      <w:r>
        <w:rPr>
          <w:rStyle w:val="CharStyle7"/>
        </w:rPr>
        <w:t xml:space="preserve">однако, срок действия регистрационного удостоверения данного лекарственного препарата истёк </w:t>
      </w:r>
      <w:r>
        <w:rPr>
          <w:rStyle w:val="CharStyle7"/>
          <w:lang w:val="en-US" w:eastAsia="en-US"/>
        </w:rPr>
        <w:t>04.05.2021.</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сведениям гражданского оборота препарат с МНН ГИДРОКСИМЕТИЛХИНОКСАЛИНДИОКСИД последний раз вводился в гражданский оборот </w:t>
      </w:r>
      <w:r>
        <w:rPr>
          <w:rStyle w:val="CharStyle7"/>
          <w:lang w:val="en-US" w:eastAsia="en-US"/>
        </w:rPr>
        <w:t xml:space="preserve">- 29.10.2024, </w:t>
      </w:r>
      <w:r>
        <w:rPr>
          <w:rStyle w:val="CharStyle7"/>
        </w:rPr>
        <w:t xml:space="preserve">а именно Гидроксиметилхиноксалиндиоксид; субстанция-порошок </w:t>
      </w:r>
      <w:r>
        <w:rPr>
          <w:rStyle w:val="CharStyle7"/>
          <w:lang w:val="en-US" w:eastAsia="en-US"/>
        </w:rPr>
        <w:t xml:space="preserve">1 </w:t>
      </w:r>
      <w:r>
        <w:rPr>
          <w:rStyle w:val="CharStyle7"/>
        </w:rPr>
        <w:t xml:space="preserve">шт. </w:t>
      </w:r>
      <w:r>
        <w:rPr>
          <w:rStyle w:val="CharStyle7"/>
          <w:lang w:val="en-US" w:eastAsia="en-US"/>
        </w:rPr>
        <w:t xml:space="preserve">(1.5 </w:t>
      </w:r>
      <w:r>
        <w:rPr>
          <w:rStyle w:val="CharStyle7"/>
        </w:rPr>
        <w:t xml:space="preserve">кг), пакеты полиэтиленовые двухслойные </w:t>
      </w:r>
      <w:r>
        <w:rPr>
          <w:rStyle w:val="CharStyle7"/>
          <w:lang w:val="en-US" w:eastAsia="en-US"/>
        </w:rPr>
        <w:t xml:space="preserve">(1), </w:t>
      </w:r>
      <w:r>
        <w:rPr>
          <w:rStyle w:val="CharStyle7"/>
        </w:rPr>
        <w:t>мешки</w:t>
      </w:r>
    </w:p>
    <w:p>
      <w:pPr>
        <w:pStyle w:val="Style6"/>
        <w:keepNext w:val="0"/>
        <w:keepLines w:val="0"/>
        <w:widowControl w:val="0"/>
        <w:shd w:val="clear" w:color="auto" w:fill="auto"/>
        <w:bidi w:val="0"/>
        <w:spacing w:before="0" w:after="0"/>
        <w:ind w:left="0" w:right="0" w:firstLine="0"/>
        <w:jc w:val="both"/>
      </w:pPr>
      <w:r>
        <w:rPr>
          <w:rStyle w:val="CharStyle7"/>
        </w:rPr>
        <w:t xml:space="preserve">бумажные/ </w:t>
      </w:r>
      <w:r>
        <w:rPr>
          <w:rStyle w:val="CharStyle7"/>
          <w:lang w:val="en-US" w:eastAsia="en-US"/>
        </w:rPr>
        <w:t xml:space="preserve">~, </w:t>
      </w:r>
      <w:r>
        <w:rPr>
          <w:rStyle w:val="CharStyle7"/>
        </w:rPr>
        <w:t xml:space="preserve">производства АО «ОХФК», РУ </w:t>
      </w:r>
      <w:r>
        <w:rPr>
          <w:rStyle w:val="CharStyle7"/>
          <w:lang w:val="en-US" w:eastAsia="en-US"/>
        </w:rPr>
        <w:t xml:space="preserve">№ </w:t>
      </w:r>
      <w:r>
        <w:rPr>
          <w:rStyle w:val="CharStyle7"/>
        </w:rPr>
        <w:t xml:space="preserve">ЛС-000988 от </w:t>
      </w:r>
      <w:r>
        <w:rPr>
          <w:rStyle w:val="CharStyle7"/>
          <w:lang w:val="en-US" w:eastAsia="en-US"/>
        </w:rPr>
        <w:t>14.12.2010.</w:t>
      </w:r>
    </w:p>
    <w:p>
      <w:pPr>
        <w:pStyle w:val="Style6"/>
        <w:keepNext w:val="0"/>
        <w:keepLines w:val="0"/>
        <w:widowControl w:val="0"/>
        <w:shd w:val="clear" w:color="auto" w:fill="auto"/>
        <w:bidi w:val="0"/>
        <w:spacing w:before="0" w:after="0"/>
        <w:ind w:left="0" w:right="0" w:firstLine="700"/>
        <w:jc w:val="both"/>
      </w:pPr>
      <w:r>
        <w:rPr>
          <w:rStyle w:val="CharStyle7"/>
        </w:rPr>
        <w:t xml:space="preserve">Как правило, срок годности у такого товара составляет </w:t>
      </w:r>
      <w:r>
        <w:rPr>
          <w:rStyle w:val="CharStyle7"/>
          <w:lang w:val="en-US" w:eastAsia="en-US"/>
        </w:rPr>
        <w:t xml:space="preserve">– 2 </w:t>
      </w:r>
      <w:r>
        <w:rPr>
          <w:rStyle w:val="CharStyle7"/>
        </w:rPr>
        <w:t>года.</w:t>
      </w:r>
    </w:p>
    <w:p>
      <w:pPr>
        <w:pStyle w:val="Style6"/>
        <w:keepNext w:val="0"/>
        <w:keepLines w:val="0"/>
        <w:widowControl w:val="0"/>
        <w:shd w:val="clear" w:color="auto" w:fill="auto"/>
        <w:bidi w:val="0"/>
        <w:spacing w:before="0" w:after="0"/>
        <w:ind w:left="0" w:right="0" w:firstLine="700"/>
        <w:jc w:val="both"/>
      </w:pPr>
      <w:r>
        <w:rPr>
          <w:rStyle w:val="CharStyle7"/>
        </w:rPr>
        <w:t xml:space="preserve">Таким образом, требуемый к поставке препарат (ГИДРОКСИМЕТИЛХИНОКСАЛИНДИОКСИД, КОНЦЕНТРАТ ДЛЯ ПРИГОТОВЛЕНИЯ РАСТВОРА ДЛЯ ИНФУЗИЙ, </w:t>
      </w:r>
      <w:r>
        <w:rPr>
          <w:rStyle w:val="CharStyle7"/>
          <w:lang w:val="en-US" w:eastAsia="en-US"/>
        </w:rPr>
        <w:t xml:space="preserve">5 </w:t>
      </w:r>
      <w:r>
        <w:rPr>
          <w:rStyle w:val="CharStyle7"/>
        </w:rPr>
        <w:t xml:space="preserve">мг/мл) на сегодняшний день отсутствует на рынке с остаточным сроком годности не менее </w:t>
      </w:r>
      <w:r>
        <w:rPr>
          <w:rStyle w:val="CharStyle7"/>
          <w:lang w:val="en-US" w:eastAsia="en-US"/>
        </w:rPr>
        <w:t xml:space="preserve">12 </w:t>
      </w:r>
      <w:r>
        <w:rPr>
          <w:rStyle w:val="CharStyle7"/>
        </w:rPr>
        <w:t>месяцев, а, вероятнее всего, отсутствует совсем.</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w:t>
      </w:r>
    </w:p>
    <w:p>
      <w:pPr>
        <w:pStyle w:val="Style6"/>
        <w:keepNext w:val="0"/>
        <w:keepLines w:val="0"/>
        <w:widowControl w:val="0"/>
        <w:shd w:val="clear" w:color="auto" w:fill="auto"/>
        <w:bidi w:val="0"/>
        <w:spacing w:before="0" w:after="0" w:line="262" w:lineRule="auto"/>
        <w:ind w:left="0" w:right="0" w:firstLine="0"/>
        <w:jc w:val="both"/>
      </w:pPr>
      <w:r>
        <w:rPr>
          <w:rStyle w:val="CharStyle7"/>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62" w:lineRule="auto"/>
        <w:ind w:left="0" w:right="0" w:firstLine="700"/>
        <w:jc w:val="both"/>
      </w:pPr>
      <w:r>
        <w:rPr>
          <w:rStyle w:val="CharStyle7"/>
        </w:rPr>
        <w:t>На заседании Комиссии Управления представитель Заказчика пояснил, что при описании объекта закупки Заказчик руководствовался сведениями КТРУ</w:t>
      </w:r>
    </w:p>
    <w:p>
      <w:pPr>
        <w:pStyle w:val="Style6"/>
        <w:keepNext w:val="0"/>
        <w:keepLines w:val="0"/>
        <w:widowControl w:val="0"/>
        <w:shd w:val="clear" w:color="auto" w:fill="auto"/>
        <w:bidi w:val="0"/>
        <w:spacing w:before="0" w:after="0" w:line="240" w:lineRule="auto"/>
        <w:ind w:left="0" w:right="0" w:firstLine="0"/>
        <w:jc w:val="both"/>
      </w:pPr>
      <w:r>
        <w:rPr>
          <w:rStyle w:val="CharStyle7"/>
          <w:lang w:val="en-US" w:eastAsia="en-US"/>
        </w:rPr>
        <w:t xml:space="preserve">21.20.10.191-00079 </w:t>
      </w:r>
      <w:r>
        <w:rPr>
          <w:rStyle w:val="CharStyle7"/>
        </w:rPr>
        <w:t>«ГИДРОКСИМЕТИЛХИНОКСАЛИНДИОКСИД» с указанием</w:t>
      </w:r>
    </w:p>
    <w:p>
      <w:pPr>
        <w:pStyle w:val="Style6"/>
        <w:keepNext w:val="0"/>
        <w:keepLines w:val="0"/>
        <w:widowControl w:val="0"/>
        <w:shd w:val="clear" w:color="auto" w:fill="auto"/>
        <w:bidi w:val="0"/>
        <w:spacing w:before="0" w:after="0" w:line="240" w:lineRule="auto"/>
        <w:ind w:left="0" w:right="0" w:firstLine="0"/>
        <w:jc w:val="both"/>
      </w:pPr>
      <w:r>
        <w:rPr>
          <w:rStyle w:val="CharStyle7"/>
        </w:rPr>
        <w:t>лекарственной формы «КОНЦЕНТРАТ ДЛЯ ПРИГОТОВЛЕНИЯ РАСТВОРА ДЛЯ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ИНФУЗИЙ» и дозировкой </w:t>
      </w:r>
      <w:r>
        <w:rPr>
          <w:rStyle w:val="CharStyle7"/>
          <w:lang w:val="en-US" w:eastAsia="en-US"/>
        </w:rPr>
        <w:t xml:space="preserve">5 </w:t>
      </w:r>
      <w:r>
        <w:rPr>
          <w:rStyle w:val="CharStyle7"/>
        </w:rPr>
        <w:t>мг/мл</w:t>
      </w:r>
    </w:p>
    <w:p>
      <w:pPr>
        <w:pStyle w:val="Style6"/>
        <w:keepNext w:val="0"/>
        <w:keepLines w:val="0"/>
        <w:widowControl w:val="0"/>
        <w:shd w:val="clear" w:color="auto" w:fill="auto"/>
        <w:bidi w:val="0"/>
        <w:spacing w:before="0" w:after="0" w:line="262" w:lineRule="auto"/>
        <w:ind w:left="0" w:right="0" w:firstLine="700"/>
        <w:jc w:val="both"/>
      </w:pPr>
      <w:r>
        <w:rPr>
          <w:rStyle w:val="CharStyle7"/>
        </w:rPr>
        <w:t>Вместе с тем Заказчиком не указано какие именно препараты соответствуют установленным в извещении требованиям.</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При этом Комиссия Управления отмечает, что в каталоге имеется например КТРУ </w:t>
      </w:r>
      <w:r>
        <w:rPr>
          <w:rStyle w:val="CharStyle7"/>
          <w:lang w:val="en-US" w:eastAsia="en-US"/>
        </w:rPr>
        <w:t xml:space="preserve">21.20.10.190-000001 </w:t>
      </w:r>
      <w:r>
        <w:rPr>
          <w:rStyle w:val="CharStyle7"/>
        </w:rPr>
        <w:t xml:space="preserve">«ГИДРОКСИМЕТИЛХИНОКСАЛИНДИОКСИД» с указанием иной лекарственной формы, а именно: «РАСТВОР ДЛЯ ВНУТРИПОЛОСТНОГО ВВЕДЕНИЯ И НАРУЖНОГО ПРИМЕНЕНИЯ; РАСТВОР ДЛЯ ИНЪЕКЦИЙ И МЕСТНОГО ПРИМЕНЕНИЯ» и дозировкой </w:t>
      </w:r>
      <w:r>
        <w:rPr>
          <w:rStyle w:val="CharStyle7"/>
          <w:lang w:val="en-US" w:eastAsia="en-US"/>
        </w:rPr>
        <w:t xml:space="preserve">5 </w:t>
      </w:r>
      <w:r>
        <w:rPr>
          <w:rStyle w:val="CharStyle7"/>
        </w:rPr>
        <w:t>мг/мл, также</w:t>
      </w:r>
    </w:p>
    <w:p>
      <w:pPr>
        <w:pStyle w:val="Style6"/>
        <w:keepNext w:val="0"/>
        <w:keepLines w:val="0"/>
        <w:widowControl w:val="0"/>
        <w:shd w:val="clear" w:color="auto" w:fill="auto"/>
        <w:bidi w:val="0"/>
        <w:spacing w:before="0" w:after="0" w:line="240" w:lineRule="auto"/>
        <w:ind w:left="0" w:right="0" w:firstLine="0"/>
        <w:jc w:val="both"/>
      </w:pPr>
      <w:r>
        <w:rPr>
          <w:rStyle w:val="CharStyle7"/>
        </w:rPr>
        <w:t>отражённой в ЕСКЛП в Единой информационной системе в сфере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эквивалентные лекарственные формы не указаны в составе извещения данной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Доказательств обратного представителем Заказчика не представлено.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положения извещения сформированы Заказчиком таким образом, что не позволяют участнику закупки предложить закупаемый лекарственный препарат в эквивалентной лекарственной форме.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о нарушении Заказчиком положений п.1 ч.1, ч.5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00"/>
        <w:ind w:left="0" w:right="0" w:firstLine="0"/>
        <w:jc w:val="center"/>
      </w:pPr>
      <w:r>
        <w:rPr>
          <w:rStyle w:val="CharStyle7"/>
          <w:b/>
          <w:bCs/>
        </w:rPr>
        <w:t>Р Е Ш И Л А:</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Признать жалобу ООО «ЛАБ-СТ» на действия ФГБУ «НМИЦ АГП им В. И. Кулакова» Минздрава России обоснованной.</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Признать в действиях Заказчика нарушения п.1 ч.1, ч.5 ст.33 Закона о контрактной системе.</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1416" w:val="left"/>
        </w:tabs>
        <w:bidi w:val="0"/>
        <w:spacing w:before="0" w:after="240"/>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347" w:right="537" w:bottom="1563" w:left="1100" w:header="0" w:footer="3" w:gutter="0"/>
          <w:cols w:space="720"/>
          <w:noEndnote/>
          <w:rtlGutter w:val="0"/>
          <w:docGrid w:linePitch="360"/>
        </w:sectPr>
      </w:pPr>
      <w:r>
        <mc:AlternateContent>
          <mc:Choice Requires="wps">
            <w:drawing>
              <wp:anchor distT="342900" distB="340995" distL="0" distR="0" simplePos="0" relativeHeight="125829383" behindDoc="0" locked="0" layoutInCell="1" allowOverlap="1">
                <wp:simplePos x="0" y="0"/>
                <wp:positionH relativeFrom="page">
                  <wp:posOffset>735330</wp:posOffset>
                </wp:positionH>
                <wp:positionV relativeFrom="paragraph">
                  <wp:posOffset>342900</wp:posOffset>
                </wp:positionV>
                <wp:extent cx="1844040" cy="250190"/>
                <wp:wrapTopAndBottom/>
                <wp:docPr id="17" name="Shape 17"/>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899999999999999pt;margin-top:27.pt;width:145.20000000000002pt;height:19.699999999999999pt;z-index:-125829370;mso-wrap-distance-left:0;mso-wrap-distance-top:27.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379730" distB="0" distL="0" distR="1786255" simplePos="0" relativeHeight="125829385" behindDoc="0" locked="0" layoutInCell="1" allowOverlap="1">
            <wp:simplePos x="0" y="0"/>
            <wp:positionH relativeFrom="page">
              <wp:posOffset>3033395</wp:posOffset>
            </wp:positionH>
            <wp:positionV relativeFrom="paragraph">
              <wp:posOffset>379730</wp:posOffset>
            </wp:positionV>
            <wp:extent cx="389890" cy="55499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3524250</wp:posOffset>
                </wp:positionH>
                <wp:positionV relativeFrom="paragraph">
                  <wp:posOffset>818515</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77.5pt;margin-top:64.450000000000003pt;width:101.05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3484245</wp:posOffset>
                </wp:positionH>
                <wp:positionV relativeFrom="paragraph">
                  <wp:posOffset>501650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4.35000000000002pt;margin-top:39.5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40995" distL="0" distR="0" simplePos="0" relativeHeight="125829386" behindDoc="0" locked="0" layoutInCell="1" allowOverlap="1">
                <wp:simplePos x="0" y="0"/>
                <wp:positionH relativeFrom="page">
                  <wp:posOffset>6078220</wp:posOffset>
                </wp:positionH>
                <wp:positionV relativeFrom="paragraph">
                  <wp:posOffset>342900</wp:posOffset>
                </wp:positionV>
                <wp:extent cx="1136650" cy="250190"/>
                <wp:wrapTopAndBottom/>
                <wp:docPr id="25" name="Shape 25"/>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1" type="#_x0000_t202" style="position:absolute;margin-left:478.60000000000002pt;margin-top:27.pt;width:89.5pt;height:19.699999999999999pt;z-index:-125829367;mso-wrap-distance-left:0;mso-wrap-distance-top:27.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color w:val="2A2A2A"/>
        </w:rPr>
        <w:t xml:space="preserve">Сертификат № </w:t>
      </w:r>
      <w:r>
        <w:rPr>
          <w:rStyle w:val="CharStyle25"/>
          <w:color w:val="5D5D5D"/>
        </w:rPr>
        <w:t>00831</w:t>
      </w:r>
      <w:r>
        <w:rPr>
          <w:rStyle w:val="CharStyle25"/>
          <w:lang w:val="en-US" w:eastAsia="en-US"/>
        </w:rPr>
        <w:t>B7545C61281C4BAB156778A683BFB</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w:t>
      </w:r>
      <w:r>
        <w:rPr>
          <w:rStyle w:val="CharStyle25"/>
          <w:color w:val="2A2A2A"/>
        </w:rPr>
        <w:t xml:space="preserve">17.07.2025 </w:t>
      </w:r>
      <w:r>
        <w:rPr>
          <w:rStyle w:val="CharStyle25"/>
          <w:color w:val="5D5D5D"/>
        </w:rPr>
        <w:t xml:space="preserve">по </w:t>
      </w:r>
      <w:r>
        <w:rPr>
          <w:rStyle w:val="CharStyle25"/>
        </w:rPr>
        <w:t>10.10.2026</w:t>
      </w:r>
    </w:p>
    <w:p>
      <w:pPr>
        <w:widowControl w:val="0"/>
        <w:spacing w:line="1" w:lineRule="exact"/>
        <w:sectPr>
          <w:footnotePr>
            <w:pos w:val="pageBottom"/>
            <w:numFmt w:val="decimal"/>
            <w:numRestart w:val="continuous"/>
          </w:footnotePr>
          <w:type w:val="continuous"/>
          <w:pgSz w:w="11900" w:h="16840"/>
          <w:pgMar w:top="1633" w:right="532" w:bottom="2843" w:left="1106" w:header="0" w:footer="3" w:gutter="0"/>
          <w:cols w:space="720"/>
          <w:noEndnote/>
          <w:rtlGutter w:val="0"/>
          <w:docGrid w:linePitch="360"/>
        </w:sectPr>
      </w:pPr>
      <w:r>
        <mc:AlternateContent>
          <mc:Choice Requires="wps">
            <w:drawing>
              <wp:anchor distT="76200" distB="341630" distL="0" distR="0" simplePos="0" relativeHeight="125829388" behindDoc="0" locked="0" layoutInCell="1" allowOverlap="1">
                <wp:simplePos x="0" y="0"/>
                <wp:positionH relativeFrom="page">
                  <wp:posOffset>732155</wp:posOffset>
                </wp:positionH>
                <wp:positionV relativeFrom="paragraph">
                  <wp:posOffset>76200</wp:posOffset>
                </wp:positionV>
                <wp:extent cx="1344295" cy="252730"/>
                <wp:wrapTopAndBottom/>
                <wp:docPr id="27" name="Shape 2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3" type="#_x0000_t202" style="position:absolute;margin-left:57.649999999999999pt;margin-top:6.pt;width:105.85000000000001pt;height:19.900000000000002pt;z-index:-125829365;mso-wrap-distance-left:0;mso-wrap-distance-top: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49225" distB="0" distL="0" distR="1786255" simplePos="0" relativeHeight="125829390" behindDoc="0" locked="0" layoutInCell="1" allowOverlap="1">
            <wp:simplePos x="0" y="0"/>
            <wp:positionH relativeFrom="page">
              <wp:posOffset>3063875</wp:posOffset>
            </wp:positionH>
            <wp:positionV relativeFrom="paragraph">
              <wp:posOffset>149225</wp:posOffset>
            </wp:positionV>
            <wp:extent cx="359410" cy="52451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554355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7.5pt;margin-top:43.649999999999999pt;width:101.05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3484245</wp:posOffset>
                </wp:positionH>
                <wp:positionV relativeFrom="paragraph">
                  <wp:posOffset>237490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4.35000000000002pt;margin-top:18.699999999999999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341630" distL="0" distR="0" simplePos="0" relativeHeight="125829391" behindDoc="0" locked="0" layoutInCell="1" allowOverlap="1">
                <wp:simplePos x="0" y="0"/>
                <wp:positionH relativeFrom="page">
                  <wp:posOffset>6075045</wp:posOffset>
                </wp:positionH>
                <wp:positionV relativeFrom="paragraph">
                  <wp:posOffset>76200</wp:posOffset>
                </wp:positionV>
                <wp:extent cx="1121410" cy="252730"/>
                <wp:wrapTopAndBottom/>
                <wp:docPr id="35" name="Shape 35"/>
                <a:graphic xmlns:a="http://schemas.openxmlformats.org/drawingml/2006/main">
                  <a:graphicData uri="http://schemas.microsoft.com/office/word/2010/wordprocessingShape">
                    <wps:wsp>
                      <wps:cNvSpPr txBox="1"/>
                      <wps:spPr>
                        <a:xfrm>
                          <a:ext cx="11214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wps:txbx>
                      <wps:bodyPr wrap="none" lIns="0" tIns="0" rIns="0" bIns="0">
                        <a:noAutoFit/>
                      </wps:bodyPr>
                    </wps:wsp>
                  </a:graphicData>
                </a:graphic>
              </wp:anchor>
            </w:drawing>
          </mc:Choice>
          <mc:Fallback>
            <w:pict>
              <v:shape id="_x0000_s1061" type="#_x0000_t202" style="position:absolute;margin-left:478.35000000000002pt;margin-top:6.pt;width:88.299999999999997pt;height:19.900000000000002pt;z-index:-125829362;mso-wrap-distance-left:0;mso-wrap-distance-top: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00FDA1C988AAB27A9A34756B8D5F1D853</w:t>
      </w:r>
      <w:r>
        <w:rPr>
          <w:rStyle w:val="CharStyle25"/>
          <w:lang w:val="en-US" w:eastAsia="en-US"/>
        </w:rPr>
        <w:t>A</w:t>
      </w:r>
    </w:p>
    <w:p>
      <w:pPr>
        <w:pStyle w:val="Style24"/>
        <w:keepNext w:val="0"/>
        <w:keepLines w:val="0"/>
        <w:widowControl w:val="0"/>
        <w:shd w:val="clear" w:color="auto" w:fill="auto"/>
        <w:bidi w:val="0"/>
        <w:spacing w:before="0" w:after="200" w:line="240" w:lineRule="auto"/>
        <w:ind w:right="0" w:firstLine="0"/>
        <w:jc w:val="left"/>
      </w:pPr>
      <w:r>
        <w:rPr>
          <w:rStyle w:val="CharStyle25"/>
        </w:rPr>
        <w:t xml:space="preserve">Действителен с 22.07.2025 </w:t>
      </w:r>
      <w:r>
        <w:rPr>
          <w:rStyle w:val="CharStyle25"/>
          <w:color w:val="5D5D5D"/>
        </w:rPr>
        <w:t xml:space="preserve">по </w:t>
      </w:r>
      <w:r>
        <w:rPr>
          <w:rStyle w:val="CharStyle25"/>
        </w:rPr>
        <w:t>15.10.2026</w:t>
      </w:r>
    </w:p>
    <w:p>
      <w:pPr>
        <w:pStyle w:val="Style6"/>
        <w:keepNext w:val="0"/>
        <w:keepLines w:val="0"/>
        <w:widowControl w:val="0"/>
        <w:shd w:val="clear" w:color="auto" w:fill="auto"/>
        <w:bidi w:val="0"/>
        <w:spacing w:before="0" w:after="370" w:line="240" w:lineRule="auto"/>
        <w:ind w:left="0" w:right="0" w:firstLine="920"/>
        <w:jc w:val="left"/>
      </w:pPr>
      <w:r>
        <w:drawing>
          <wp:anchor distT="0" distB="0" distL="114300" distR="1931035" simplePos="0" relativeHeight="125829393" behindDoc="0" locked="0" layoutInCell="1" allowOverlap="1">
            <wp:simplePos x="0" y="0"/>
            <wp:positionH relativeFrom="page">
              <wp:posOffset>3094355</wp:posOffset>
            </wp:positionH>
            <wp:positionV relativeFrom="paragraph">
              <wp:posOffset>88900</wp:posOffset>
            </wp:positionV>
            <wp:extent cx="298450" cy="34734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3484245</wp:posOffset>
                </wp:positionH>
                <wp:positionV relativeFrom="paragraph">
                  <wp:posOffset>149860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4.35000000000002pt;margin-top:11.800000000000001pt;width:135.59999999999999pt;height:20.40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0"/>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ХЛЕБНИКОВА АНАСТАСИЯ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00BDC586F2C22E8641</w:t>
      </w:r>
      <w:r>
        <w:rPr>
          <w:rStyle w:val="CharStyle25"/>
        </w:rPr>
        <w:t>81858031</w:t>
      </w:r>
      <w:r>
        <w:rPr>
          <w:rStyle w:val="CharStyle25"/>
          <w:lang w:val="en-US" w:eastAsia="en-US"/>
        </w:rPr>
        <w:t>D</w:t>
      </w:r>
      <w:r>
        <w:rPr>
          <w:rStyle w:val="CharStyle25"/>
        </w:rPr>
        <w:t>1</w:t>
      </w:r>
      <w:r>
        <w:rPr>
          <w:rStyle w:val="CharStyle25"/>
          <w:color w:val="2A2A2A"/>
        </w:rPr>
        <w:t>6А11</w:t>
      </w:r>
      <w:r>
        <w:rPr>
          <w:rStyle w:val="CharStyle25"/>
        </w:rPr>
        <w:t>13</w:t>
      </w:r>
    </w:p>
    <w:p>
      <w:pPr>
        <w:pStyle w:val="Style24"/>
        <w:keepNext w:val="0"/>
        <w:keepLines w:val="0"/>
        <w:widowControl w:val="0"/>
        <w:shd w:val="clear" w:color="auto" w:fill="auto"/>
        <w:bidi w:val="0"/>
        <w:spacing w:before="0" w:after="1240" w:line="240" w:lineRule="auto"/>
        <w:ind w:right="0" w:firstLine="0"/>
        <w:jc w:val="left"/>
      </w:pPr>
      <w:r>
        <w:rPr>
          <w:rStyle w:val="CharStyle25"/>
        </w:rPr>
        <w:t>Действителен с 31.1</w:t>
      </w:r>
      <w:r>
        <w:rPr>
          <w:rStyle w:val="CharStyle25"/>
          <w:color w:val="5D5D5D"/>
        </w:rPr>
        <w:t xml:space="preserve">0.2025 по </w:t>
      </w:r>
      <w:r>
        <w:rPr>
          <w:rStyle w:val="CharStyle25"/>
          <w:color w:val="2A2A2A"/>
        </w:rPr>
        <w:t>24.01</w:t>
      </w:r>
      <w:r>
        <w:rPr>
          <w:rStyle w:val="CharStyle25"/>
        </w:rPr>
        <w:t>.2027</w:t>
      </w:r>
    </w:p>
    <w:p>
      <w:pPr>
        <w:pStyle w:val="Style13"/>
        <w:keepNext w:val="0"/>
        <w:keepLines w:val="0"/>
        <w:widowControl w:val="0"/>
        <w:shd w:val="clear" w:color="auto" w:fill="auto"/>
        <w:bidi w:val="0"/>
        <w:spacing w:before="0" w:after="60" w:line="240" w:lineRule="auto"/>
        <w:ind w:left="0" w:right="0" w:firstLine="0"/>
        <w:jc w:val="left"/>
      </w:pPr>
      <w:r>
        <w:rPr>
          <w:rStyle w:val="CharStyle14"/>
        </w:rPr>
        <w:t>Исп.Мацнева М.О. тел.8(495)784-75-05</w:t>
      </w:r>
    </w:p>
    <w:sectPr>
      <w:footnotePr>
        <w:pos w:val="pageBottom"/>
        <w:numFmt w:val="decimal"/>
        <w:numRestart w:val="continuous"/>
      </w:footnotePr>
      <w:type w:val="continuous"/>
      <w:pgSz w:w="11900" w:h="16840"/>
      <w:pgMar w:top="1633" w:right="532" w:bottom="163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9932670</wp:posOffset>
              </wp:positionV>
              <wp:extent cx="728345" cy="103505"/>
              <wp:wrapNone/>
              <wp:docPr id="9" name="Shape 9"/>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2026-23374</w:t>
                          </w:r>
                        </w:p>
                      </w:txbxContent>
                    </wps:txbx>
                    <wps:bodyPr wrap="none" lIns="0" tIns="0" rIns="0" bIns="0">
                      <a:spAutoFit/>
                    </wps:bodyPr>
                  </wps:wsp>
                </a:graphicData>
              </a:graphic>
            </wp:anchor>
          </w:drawing>
        </mc:Choice>
        <mc:Fallback>
          <w:pict>
            <v:shape id="_x0000_s1035" type="#_x0000_t202" style="position:absolute;margin-left:56.950000000000003pt;margin-top:782.10000000000002pt;width:57.35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2026-23374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723265</wp:posOffset>
              </wp:positionH>
              <wp:positionV relativeFrom="page">
                <wp:posOffset>9932670</wp:posOffset>
              </wp:positionV>
              <wp:extent cx="728345" cy="103505"/>
              <wp:wrapNone/>
              <wp:docPr id="15" name="Shape 15"/>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2026-23374</w:t>
                          </w:r>
                        </w:p>
                      </w:txbxContent>
                    </wps:txbx>
                    <wps:bodyPr wrap="none" lIns="0" tIns="0" rIns="0" bIns="0">
                      <a:spAutoFit/>
                    </wps:bodyPr>
                  </wps:wsp>
                </a:graphicData>
              </a:graphic>
            </wp:anchor>
          </w:drawing>
        </mc:Choice>
        <mc:Fallback>
          <w:pict>
            <v:shape id="_x0000_s1041" type="#_x0000_t202" style="position:absolute;margin-left:56.950000000000003pt;margin-top:782.10000000000002pt;width:57.350000000000001pt;height:8.1500000000000004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2026-23374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593090</wp:posOffset>
              </wp:positionV>
              <wp:extent cx="73025" cy="106680"/>
              <wp:wrapNone/>
              <wp:docPr id="7" name="Shape 7"/>
              <a:graphic xmlns:a="http://schemas.openxmlformats.org/drawingml/2006/main">
                <a:graphicData uri="http://schemas.microsoft.com/office/word/2010/wordprocessingShape">
                  <wps:wsp>
                    <wps:cNvSpPr txBox="1"/>
                    <wps:spPr>
                      <a:xfrm>
                        <a:ext cx="73025"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8.94999999999999pt;margin-top:46.700000000000003pt;width:5.75pt;height:8.4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628650</wp:posOffset>
              </wp:positionV>
              <wp:extent cx="67310" cy="88265"/>
              <wp:wrapNone/>
              <wp:docPr id="11" name="Shape 11"/>
              <a:graphic xmlns:a="http://schemas.openxmlformats.org/drawingml/2006/main">
                <a:graphicData uri="http://schemas.microsoft.com/office/word/2010/wordprocessingShape">
                  <wps:wsp>
                    <wps:cNvSpPr txBox="1"/>
                    <wps:spPr>
                      <a:xfrm>
                        <a:ext cx="67310" cy="8826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25pt;margin-top:49.5pt;width:5.2999999999999998pt;height:6.9500000000000002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3923665</wp:posOffset>
              </wp:positionH>
              <wp:positionV relativeFrom="page">
                <wp:posOffset>593090</wp:posOffset>
              </wp:positionV>
              <wp:extent cx="73025" cy="106680"/>
              <wp:wrapNone/>
              <wp:docPr id="13" name="Shape 13"/>
              <a:graphic xmlns:a="http://schemas.openxmlformats.org/drawingml/2006/main">
                <a:graphicData uri="http://schemas.microsoft.com/office/word/2010/wordprocessingShape">
                  <wps:wsp>
                    <wps:cNvSpPr txBox="1"/>
                    <wps:spPr>
                      <a:xfrm>
                        <a:ext cx="73025"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8.94999999999999pt;margin-top:46.700000000000003pt;width:5.75pt;height:8.4000000000000004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ing #1_"/>
    <w:basedOn w:val="DefaultParagraphFont"/>
    <w:link w:val="Style11"/>
    <w:rPr>
      <w:rFonts w:ascii="Arial" w:eastAsia="Arial" w:hAnsi="Arial" w:cs="Arial"/>
      <w:b w:val="0"/>
      <w:bCs w:val="0"/>
      <w:i w:val="0"/>
      <w:iCs w:val="0"/>
      <w:smallCaps w:val="0"/>
      <w:strike w:val="0"/>
      <w:sz w:val="32"/>
      <w:szCs w:val="32"/>
      <w:u w:val="none"/>
      <w:lang w:val="en-US" w:eastAsia="en-US"/>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A2A2A"/>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character" w:customStyle="1" w:styleId="CharStyle30">
    <w:name w:val="Body text (5)_"/>
    <w:basedOn w:val="DefaultParagraphFont"/>
    <w:link w:val="Style29"/>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ing #1"/>
    <w:basedOn w:val="Normal"/>
    <w:link w:val="CharStyle12"/>
    <w:pPr>
      <w:widowControl w:val="0"/>
      <w:shd w:val="clear" w:color="auto" w:fill="auto"/>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3">
    <w:name w:val="Body text (4)"/>
    <w:basedOn w:val="Normal"/>
    <w:link w:val="CharStyle14"/>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4">
    <w:name w:val="Body text (2)"/>
    <w:basedOn w:val="Normal"/>
    <w:link w:val="CharStyle25"/>
    <w:pPr>
      <w:widowControl w:val="0"/>
      <w:shd w:val="clear" w:color="auto" w:fill="auto"/>
      <w:ind w:left="3740"/>
    </w:pPr>
    <w:rPr>
      <w:rFonts w:ascii="Arial" w:eastAsia="Arial" w:hAnsi="Arial" w:cs="Arial"/>
      <w:b w:val="0"/>
      <w:bCs w:val="0"/>
      <w:i w:val="0"/>
      <w:iCs w:val="0"/>
      <w:smallCaps w:val="0"/>
      <w:strike w:val="0"/>
      <w:color w:val="424242"/>
      <w:sz w:val="12"/>
      <w:szCs w:val="12"/>
      <w:u w:val="none"/>
    </w:rPr>
  </w:style>
  <w:style w:type="paragraph" w:customStyle="1" w:styleId="Style29">
    <w:name w:val="Body text (5)"/>
    <w:basedOn w:val="Normal"/>
    <w:link w:val="CharStyle30"/>
    <w:pPr>
      <w:widowControl w:val="0"/>
      <w:shd w:val="clear" w:color="auto" w:fill="auto"/>
      <w:spacing w:after="100"/>
      <w:ind w:left="446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