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  <w:rPr>
          <w:sz w:val="24"/>
          <w:szCs w:val="24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643255</wp:posOffset>
                </wp:positionH>
                <wp:positionV relativeFrom="paragraph">
                  <wp:posOffset>12700</wp:posOffset>
                </wp:positionV>
                <wp:extent cx="2587625" cy="2575560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7625" cy="25755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color w:val="7992CA"/>
                                <w:sz w:val="24"/>
                                <w:szCs w:val="24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color w:val="7992CA"/>
                                <w:sz w:val="24"/>
                                <w:szCs w:val="24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color w:val="7992CA"/>
                                <w:sz w:val="24"/>
                                <w:szCs w:val="24"/>
                              </w:rPr>
                              <w:t>Федеральной антимонопольной</w:t>
                              <w:br/>
                              <w:t>службы</w:t>
                              <w:br/>
                              <w:t>по Республике Татарстан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8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ул. Московская, д. 55, г. Казань, 420021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88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тел.: (843) 236-89-22, факс (843)238-19-46</w:t>
                              <w:br/>
                            </w: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"mailto:tol6@fas.gov.ru"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>tol6@fas.gov.ru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62" w:lineRule="auto"/>
                              <w:ind w:left="0" w:right="0"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3"/>
                                <w:color w:val="382E8A"/>
                                <w:sz w:val="22"/>
                                <w:szCs w:val="22"/>
                                <w:u w:val="single"/>
                              </w:rPr>
                              <w:t xml:space="preserve">&amp;_ ££ ^ </w:t>
                            </w:r>
                            <w:r>
                              <w:rPr>
                                <w:rStyle w:val="CharStyle3"/>
                                <w:color w:val="382E8A"/>
                                <w:sz w:val="22"/>
                                <w:szCs w:val="22"/>
                                <w:u w:val="single"/>
                                <w:lang w:val="en-US" w:eastAsia="en-US"/>
                              </w:rPr>
                              <w:t>W</w:t>
                            </w:r>
                            <w:r>
                              <w:rPr>
                                <w:rStyle w:val="CharStyle3"/>
                                <w:color w:val="382E8A"/>
                                <w:sz w:val="22"/>
                                <w:szCs w:val="22"/>
                                <w:lang w:val="en-US" w:eastAsia="en-US"/>
                              </w:rPr>
                              <w:t xml:space="preserve"> </w:t>
                            </w:r>
                            <w:r>
                              <w:rPr>
                                <w:rStyle w:val="CharStyle3"/>
                                <w:color w:val="5B6A94"/>
                                <w:sz w:val="22"/>
                                <w:szCs w:val="22"/>
                              </w:rPr>
                              <w:t xml:space="preserve">№ </w:t>
                            </w:r>
                            <w:r>
                              <w:rPr>
                                <w:rStyle w:val="CharStyle3"/>
                                <w:color w:val="382E8A"/>
                                <w:sz w:val="22"/>
                                <w:szCs w:val="22"/>
                                <w:u w:val="single"/>
                              </w:rPr>
                              <w:t>&lt;?У- ^^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62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3"/>
                                <w:color w:val="7992CA"/>
                                <w:sz w:val="22"/>
                                <w:szCs w:val="22"/>
                              </w:rPr>
                              <w:t xml:space="preserve">На </w:t>
                            </w:r>
                            <w:r>
                              <w:rPr>
                                <w:rStyle w:val="CharStyle3"/>
                                <w:color w:val="5B6A94"/>
                                <w:sz w:val="22"/>
                                <w:szCs w:val="22"/>
                              </w:rPr>
                              <w:t>№</w:t>
                            </w:r>
                            <w:r>
                              <w:rPr>
                                <w:rStyle w:val="CharStyle3"/>
                                <w:color w:val="7992CA"/>
                                <w:sz w:val="22"/>
                                <w:szCs w:val="22"/>
                              </w:rPr>
                              <w:t>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0.649999999999999pt;margin-top:1.pt;width:203.75pt;height:202.8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color w:val="7992CA"/>
                          <w:sz w:val="24"/>
                          <w:szCs w:val="24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color w:val="7992CA"/>
                          <w:sz w:val="24"/>
                          <w:szCs w:val="24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color w:val="7992CA"/>
                          <w:sz w:val="24"/>
                          <w:szCs w:val="24"/>
                        </w:rPr>
                        <w:t>Федеральной антимонопольной</w:t>
                        <w:br/>
                        <w:t>службы</w:t>
                        <w:br/>
                        <w:t>по Республике Татарстан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8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ул. Московская, д. 55, г. Казань, 420021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88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тел.: (843) 236-89-22, факс (843)238-19-46</w:t>
                        <w:br/>
                      </w:r>
                      <w:r>
                        <w:rPr>
                          <w:rStyle w:val="CharStyle6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"mailto:tol6@fas.gov.ru"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lang w:val="en-US" w:eastAsia="en-US"/>
                        </w:rPr>
                        <w:t>tol6@fas.gov.ru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62" w:lineRule="auto"/>
                        <w:ind w:left="0" w:right="0"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3"/>
                          <w:color w:val="382E8A"/>
                          <w:sz w:val="22"/>
                          <w:szCs w:val="22"/>
                          <w:u w:val="single"/>
                        </w:rPr>
                        <w:t xml:space="preserve">&amp;_ ££ ^ </w:t>
                      </w:r>
                      <w:r>
                        <w:rPr>
                          <w:rStyle w:val="CharStyle3"/>
                          <w:color w:val="382E8A"/>
                          <w:sz w:val="22"/>
                          <w:szCs w:val="22"/>
                          <w:u w:val="single"/>
                          <w:lang w:val="en-US" w:eastAsia="en-US"/>
                        </w:rPr>
                        <w:t>W</w:t>
                      </w:r>
                      <w:r>
                        <w:rPr>
                          <w:rStyle w:val="CharStyle3"/>
                          <w:color w:val="382E8A"/>
                          <w:sz w:val="22"/>
                          <w:szCs w:val="22"/>
                          <w:lang w:val="en-US" w:eastAsia="en-US"/>
                        </w:rPr>
                        <w:t xml:space="preserve"> </w:t>
                      </w:r>
                      <w:r>
                        <w:rPr>
                          <w:rStyle w:val="CharStyle3"/>
                          <w:color w:val="5B6A94"/>
                          <w:sz w:val="22"/>
                          <w:szCs w:val="22"/>
                        </w:rPr>
                        <w:t xml:space="preserve">№ </w:t>
                      </w:r>
                      <w:r>
                        <w:rPr>
                          <w:rStyle w:val="CharStyle3"/>
                          <w:color w:val="382E8A"/>
                          <w:sz w:val="22"/>
                          <w:szCs w:val="22"/>
                          <w:u w:val="single"/>
                        </w:rPr>
                        <w:t>&lt;?У- ^^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62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3"/>
                          <w:color w:val="7992CA"/>
                          <w:sz w:val="22"/>
                          <w:szCs w:val="22"/>
                        </w:rPr>
                        <w:t xml:space="preserve">На </w:t>
                      </w:r>
                      <w:r>
                        <w:rPr>
                          <w:rStyle w:val="CharStyle3"/>
                          <w:color w:val="5B6A94"/>
                          <w:sz w:val="22"/>
                          <w:szCs w:val="22"/>
                        </w:rPr>
                        <w:t>№</w:t>
                      </w:r>
                      <w:r>
                        <w:rPr>
                          <w:rStyle w:val="CharStyle3"/>
                          <w:color w:val="7992CA"/>
                          <w:sz w:val="22"/>
                          <w:szCs w:val="22"/>
                        </w:rPr>
                        <w:t>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3575050</wp:posOffset>
            </wp:positionH>
            <wp:positionV relativeFrom="paragraph">
              <wp:posOffset>127000</wp:posOffset>
            </wp:positionV>
            <wp:extent cx="585470" cy="658495"/>
            <wp:wrapSquare wrapText="righ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85470" cy="65849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3"/>
          <w:b/>
          <w:bCs/>
          <w:color w:val="7992CA"/>
          <w:sz w:val="24"/>
          <w:szCs w:val="24"/>
        </w:rPr>
        <w:t>МОНОПОЛИЯГО КАРШЫ</w:t>
        <w:br/>
        <w:t>ФЕДЕРАЛЬ ХЕЗМЭТ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3"/>
          <w:b/>
          <w:bCs/>
          <w:color w:val="7992CA"/>
          <w:sz w:val="24"/>
          <w:szCs w:val="24"/>
        </w:rPr>
        <w:t>Монополиягэ карты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3"/>
          <w:b/>
          <w:bCs/>
          <w:color w:val="7992CA"/>
          <w:sz w:val="24"/>
          <w:szCs w:val="24"/>
        </w:rPr>
        <w:t>Федераль хезмэтнец</w:t>
        <w:br/>
        <w:t>Татарстан Республикасы</w:t>
        <w:br/>
        <w:t>буенча идарэсе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720" w:line="283" w:lineRule="auto"/>
        <w:ind w:left="0" w:right="0" w:firstLine="0"/>
        <w:jc w:val="center"/>
      </w:pPr>
      <w:r>
        <w:rPr>
          <w:rStyle w:val="CharStyle6"/>
        </w:rPr>
        <w:t>Москоу ур., 55 йорт. Казан шэЬэре, 420021</w:t>
        <w:br/>
        <w:t>тел.: (843) 236-89-22, факс (843) 238-19-46</w:t>
        <w:br/>
      </w:r>
      <w:r>
        <w:rPr>
          <w:rStyle w:val="CharStyle6"/>
          <w:lang w:val="en-US" w:eastAsia="en-US"/>
        </w:rPr>
        <w:t xml:space="preserve">e-mail: to </w:t>
      </w:r>
      <w:r>
        <w:fldChar w:fldCharType="begin"/>
      </w:r>
      <w:r>
        <w:rPr/>
        <w:instrText> HYPERLINK "mailto:16@fas.gov.ru" </w:instrText>
      </w:r>
      <w:r>
        <w:fldChar w:fldCharType="separate"/>
      </w:r>
      <w:r>
        <w:rPr>
          <w:rStyle w:val="CharStyle6"/>
          <w:lang w:val="en-US" w:eastAsia="en-US"/>
        </w:rPr>
        <w:t>16@fas.gov.ru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00" w:right="0" w:hanging="4240"/>
        <w:jc w:val="left"/>
      </w:pPr>
      <w:r>
        <w:rPr>
          <w:rStyle w:val="CharStyle3"/>
        </w:rPr>
        <w:t>Заказчику: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00" w:right="0" w:hanging="4240"/>
        <w:jc w:val="left"/>
      </w:pPr>
      <w:r>
        <w:rPr>
          <w:rStyle w:val="CharStyle3"/>
        </w:rPr>
        <w:t>ГАУСО «Реабилитационный центр для детей и подростков с ограниченными возможностями Министерства труда, занятости и социальной защиты Республики Татарстан «Астра» в Елабужском муниципальном районе»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4800" w:right="0" w:firstLine="0"/>
        <w:jc w:val="left"/>
      </w:pPr>
      <w:r>
        <w:fldChar w:fldCharType="begin"/>
      </w:r>
      <w:r>
        <w:rPr/>
        <w:instrText> HYPERLINK "mailto:Rcdpov.Astra-elabuga@tatar.ru" </w:instrText>
      </w:r>
      <w:r>
        <w:fldChar w:fldCharType="separate"/>
      </w:r>
      <w:r>
        <w:rPr>
          <w:rStyle w:val="CharStyle3"/>
          <w:u w:val="single"/>
          <w:lang w:val="en-US" w:eastAsia="en-US"/>
        </w:rPr>
        <w:t>Rcdpov.Astra-elabuga@tatar.ru</w:t>
      </w:r>
      <w:r>
        <w:fldChar w:fldCharType="end"/>
      </w:r>
      <w:r>
        <w:rPr>
          <w:rStyle w:val="CharStyle3"/>
          <w:u w:val="single"/>
          <w:lang w:val="en-US" w:eastAsia="en-US"/>
        </w:rPr>
        <w:t xml:space="preserve"> </w:t>
      </w:r>
      <w:r>
        <w:fldChar w:fldCharType="begin"/>
      </w:r>
      <w:r>
        <w:rPr/>
        <w:instrText> HYPERLINK "mailto:astra-elabuga@mail.ru" </w:instrText>
      </w:r>
      <w:r>
        <w:fldChar w:fldCharType="separate"/>
      </w:r>
      <w:r>
        <w:rPr>
          <w:rStyle w:val="CharStyle3"/>
          <w:u w:val="single"/>
          <w:lang w:val="en-US" w:eastAsia="en-US"/>
        </w:rPr>
        <w:t>astra-elabuga@mail.ru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00" w:right="0" w:firstLine="0"/>
        <w:jc w:val="left"/>
      </w:pPr>
      <w:r>
        <w:rPr>
          <w:rStyle w:val="CharStyle3"/>
        </w:rPr>
        <w:t>Оператору ЭТП: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4800" w:right="0" w:firstLine="0"/>
        <w:jc w:val="left"/>
      </w:pPr>
      <w:r>
        <w:rPr>
          <w:rStyle w:val="CharStyle3"/>
        </w:rPr>
        <w:t>АО «АГЗ РТ»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3"/>
          <w:b/>
          <w:bCs/>
        </w:rPr>
        <w:t>Предписание по делу №016/06/48-628/2026</w:t>
        <w:br/>
        <w:t>об устранении нарушений действующего</w:t>
        <w:br/>
        <w:t>законодательства Российской Федерации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6421755</wp:posOffset>
                </wp:positionH>
                <wp:positionV relativeFrom="paragraph">
                  <wp:posOffset>12700</wp:posOffset>
                </wp:positionV>
                <wp:extent cx="670560" cy="20447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056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г. Казань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05.65000000000003pt;margin-top:1.pt;width:52.800000000000004pt;height:16.100000000000001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г. Казань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</w:rPr>
        <w:t>7 мая 2026 года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486" w:val="left"/>
        </w:tabs>
        <w:bidi w:val="0"/>
        <w:spacing w:before="0" w:after="140" w:line="240" w:lineRule="auto"/>
        <w:ind w:left="0" w:right="0" w:firstLine="820"/>
        <w:jc w:val="left"/>
      </w:pPr>
      <w:r>
        <w:rPr>
          <w:rStyle w:val="CharStyle3"/>
        </w:rPr>
        <w:t>Зам. Председателя Комиссии:</w:t>
        <w:tab/>
        <w:t>Кучеевой А.С. - начальника отдела,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486" w:val="left"/>
        </w:tabs>
        <w:bidi w:val="0"/>
        <w:spacing w:before="0" w:after="40" w:line="240" w:lineRule="auto"/>
        <w:ind w:left="0" w:right="0" w:firstLine="820"/>
        <w:jc w:val="left"/>
      </w:pPr>
      <w:r>
        <w:rPr>
          <w:rStyle w:val="CharStyle3"/>
        </w:rPr>
        <w:t>Членов Комиссии:</w:t>
        <w:tab/>
        <w:t>Клавдиевой М.Р. - специалиста 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5480" w:right="0" w:firstLine="0"/>
        <w:jc w:val="left"/>
      </w:pPr>
      <w:r>
        <w:rPr>
          <w:rStyle w:val="CharStyle3"/>
        </w:rPr>
        <w:t>разряда,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5480" w:right="0" w:firstLine="0"/>
        <w:jc w:val="left"/>
      </w:pPr>
      <w:r>
        <w:rPr>
          <w:rStyle w:val="CharStyle3"/>
        </w:rPr>
        <w:t>Николашиной Е.С. - специалиста 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5480" w:right="0" w:firstLine="0"/>
        <w:jc w:val="left"/>
      </w:pPr>
      <w:r>
        <w:rPr>
          <w:rStyle w:val="CharStyle3"/>
        </w:rPr>
        <w:t>разряда,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859" w:right="664" w:bottom="859" w:left="989" w:header="431" w:footer="431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3"/>
        </w:rPr>
        <w:t>на основании решения от 07.05.2026 о выявленных нарушениях норм действую</w:t>
        <w:softHyphen/>
        <w:t>щего законодательства о контрактной системе, допущенных заказчиком - ГАУСО «Реабилитационный центр для детей и подростков с ограниченными возможностями Министерства труда, занятости и социальной защиты Республики Татарстан «Астра» в Елабужском муниципальном районе» при проведении закупки №0711200008826000023 на предмет: «Интерактивная стойка со встроенной индукционной системой для передачи звука на слуховые аппараты (персональные цифровые ассистенты)»,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676910" distL="324485" distR="114300" simplePos="0" relativeHeight="125829383" behindDoc="0" locked="0" layoutInCell="1" allowOverlap="1">
                <wp:simplePos x="0" y="0"/>
                <wp:positionH relativeFrom="page">
                  <wp:posOffset>6078855</wp:posOffset>
                </wp:positionH>
                <wp:positionV relativeFrom="paragraph">
                  <wp:posOffset>6781800</wp:posOffset>
                </wp:positionV>
                <wp:extent cx="1012190" cy="20701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2190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А.С. Кучеева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78.65000000000003pt;margin-top:534.pt;width:79.700000000000003pt;height:16.300000000000001pt;z-index:-125829370;mso-wrap-distance-left:25.550000000000001pt;mso-wrap-distance-right:9.pt;mso-wrap-distance-bottom:53.3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А.С. Кучеева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679450" distB="0" distL="114300" distR="147955" simplePos="0" relativeHeight="125829385" behindDoc="0" locked="0" layoutInCell="1" allowOverlap="1">
                <wp:simplePos x="0" y="0"/>
                <wp:positionH relativeFrom="page">
                  <wp:posOffset>5868670</wp:posOffset>
                </wp:positionH>
                <wp:positionV relativeFrom="paragraph">
                  <wp:posOffset>7461250</wp:posOffset>
                </wp:positionV>
                <wp:extent cx="1188720" cy="20447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872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М.Р. Клавдиева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62.10000000000002pt;margin-top:587.5pt;width:93.600000000000009pt;height:16.100000000000001pt;z-index:-125829368;mso-wrap-distance-left:9.pt;mso-wrap-distance-top:53.5pt;mso-wrap-distance-right:11.6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М.Р. Клавдиева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3312795</wp:posOffset>
            </wp:positionH>
            <wp:positionV relativeFrom="margin">
              <wp:posOffset>6111240</wp:posOffset>
            </wp:positionV>
            <wp:extent cx="2602865" cy="2359025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602865" cy="235902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3"/>
        </w:rPr>
        <w:t>ПРЕДПИСЫВАЕТ: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0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Заказчику, Комиссии по осуществлению закупок отменить Протокол подведения итогов определения поставщика (подрядчика, исполнителя) от 30.04.2026 №ИЭА1 (далее - Протокол) и назначить новую дату подведения итогов, а также разместить соответствующую информацию в ЕИС, в том числе информацию об отмене Протокола.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0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Комиссии по осуществлению закупок в срок, установленный в соответствии с пунктом 1 настоящего предписания, рассмотреть заявки участников закупки в соответствии с требованиями законодательства Российской Федерации о контрактной системе в сфере закупок и с учетом решения от 7 мая 2026 по делу №016/06/48-628/2026.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0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 об отмене Протокола, о новой дате подведения итогов на участие в аукционе.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0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7 мая 2026 по делу №016/06/48-628/2026.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0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Заказчику, Комиссии по осуществлению закупок в течение 20 (двадцати) рабочих дней со дня получения настоящего Предписания исполнить настоящее предписание и представить в Управление Федеральной антимонопольной службы по Республике Татарстан подтверждение исполнения настоящего предписания в письменном виде, а также по электронной почте на </w:t>
      </w:r>
      <w:r>
        <w:fldChar w:fldCharType="begin"/>
      </w:r>
      <w:r>
        <w:rPr/>
        <w:instrText> HYPERLINK "mailto:tol6-esnikolashina@fas.gov.ru" </w:instrText>
      </w:r>
      <w:r>
        <w:fldChar w:fldCharType="separate"/>
      </w:r>
      <w:r>
        <w:rPr>
          <w:rStyle w:val="CharStyle3"/>
          <w:lang w:val="en-US" w:eastAsia="en-US"/>
        </w:rPr>
        <w:t>tol6-esnikolashina@fas.gov.ru</w:t>
      </w:r>
      <w:r>
        <w:fldChar w:fldCharType="end"/>
      </w:r>
      <w:r>
        <w:rPr>
          <w:rStyle w:val="CharStyle3"/>
          <w:lang w:val="en-US" w:eastAsia="en-US"/>
        </w:rPr>
        <w:t xml:space="preserve">, </w:t>
      </w:r>
      <w:r>
        <w:fldChar w:fldCharType="begin"/>
      </w:r>
      <w:r>
        <w:rPr/>
        <w:instrText> HYPERLINK "mailto:tol6@fas.gov.ru" </w:instrText>
      </w:r>
      <w:r>
        <w:fldChar w:fldCharType="separate"/>
      </w:r>
      <w:r>
        <w:rPr>
          <w:rStyle w:val="CharStyle3"/>
          <w:lang w:val="en-US" w:eastAsia="en-US"/>
        </w:rPr>
        <w:t>tol6@fas.gov.ru</w:t>
      </w:r>
      <w:r>
        <w:fldChar w:fldCharType="end"/>
      </w:r>
      <w:r>
        <w:rPr>
          <w:rStyle w:val="CharStyle3"/>
          <w:lang w:val="en-US" w:eastAsia="en-US"/>
        </w:rPr>
        <w:t>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0" w:right="0" w:firstLine="720"/>
        <w:jc w:val="both"/>
      </w:pPr>
      <w:r>
        <w:rPr>
          <w:rStyle w:val="CharStyle3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60" w:line="240" w:lineRule="auto"/>
        <w:ind w:left="0" w:right="0" w:firstLine="140"/>
        <w:jc w:val="both"/>
      </w:pPr>
      <w:r>
        <w:rPr>
          <w:rStyle w:val="CharStyle3"/>
        </w:rPr>
        <w:t>Зам. Председателя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60" w:line="240" w:lineRule="auto"/>
        <w:ind w:left="0" w:right="0" w:firstLine="140"/>
        <w:jc w:val="both"/>
      </w:pPr>
      <w:r>
        <w:rPr>
          <w:rStyle w:val="CharStyle3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0" w:right="160" w:firstLine="0"/>
        <w:jc w:val="right"/>
      </w:pPr>
      <w:r>
        <w:rPr>
          <w:rStyle w:val="CharStyle3"/>
        </w:rPr>
        <w:t>Е.С. Николашина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rStyle w:val="CharStyle18"/>
        </w:rPr>
        <w:t>Исп.: Николашина Екатерина Сергеевна Тел.: 8 (499)755-23-23 (доб. 016-406).</w:t>
      </w:r>
    </w:p>
    <w:sectPr>
      <w:headerReference w:type="default" r:id="rId9"/>
      <w:footerReference w:type="default" r:id="rId10"/>
      <w:footnotePr>
        <w:pos w:val="pageBottom"/>
        <w:numFmt w:val="decimal"/>
        <w:numRestart w:val="continuous"/>
      </w:footnotePr>
      <w:pgSz w:w="11900" w:h="16840"/>
      <w:pgMar w:top="1146" w:right="618" w:bottom="1146" w:left="97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678180</wp:posOffset>
              </wp:positionH>
              <wp:positionV relativeFrom="page">
                <wp:posOffset>10124440</wp:posOffset>
              </wp:positionV>
              <wp:extent cx="567055" cy="11874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05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Style w:val="CharStyle14"/>
                              <w:sz w:val="26"/>
                              <w:szCs w:val="26"/>
                            </w:rPr>
                            <w:t>248863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3.399999999999999pt;margin-top:797.20000000000005pt;width:44.649999999999999pt;height:9.3499999999999996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Style w:val="CharStyle14"/>
                        <w:sz w:val="26"/>
                        <w:szCs w:val="26"/>
                      </w:rPr>
                      <w:t>248863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3869690</wp:posOffset>
              </wp:positionH>
              <wp:positionV relativeFrom="page">
                <wp:posOffset>425450</wp:posOffset>
              </wp:positionV>
              <wp:extent cx="54610" cy="8826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CharStyle14"/>
                              <w:sz w:val="19"/>
                              <w:szCs w:val="19"/>
                              <w:lang w:val="en-US" w:eastAsia="en-US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4.69999999999999pt;margin-top:33.5pt;width:4.2999999999999998pt;height:6.9500000000000002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Style w:val="CharStyle14"/>
                        <w:sz w:val="19"/>
                        <w:szCs w:val="19"/>
                        <w:lang w:val="en-US" w:eastAsia="en-US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B6A94"/>
      <w:sz w:val="15"/>
      <w:szCs w:val="15"/>
      <w:u w:val="none"/>
    </w:rPr>
  </w:style>
  <w:style w:type="character" w:customStyle="1" w:styleId="CharStyle14">
    <w:name w:val="Header or footer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Body text (3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styleId="Style2">
    <w:name w:val="Body text"/>
    <w:basedOn w:val="Normal"/>
    <w:link w:val="CharStyle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500" w:line="28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B6A94"/>
      <w:sz w:val="15"/>
      <w:szCs w:val="15"/>
      <w:u w:val="none"/>
    </w:rPr>
  </w:style>
  <w:style w:type="paragraph" w:customStyle="1" w:styleId="Style13">
    <w:name w:val="Header or footer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Body text (3)"/>
    <w:basedOn w:val="Normal"/>
    <w:link w:val="CharStyle18"/>
    <w:pPr>
      <w:widowControl w:val="0"/>
      <w:shd w:val="clear" w:color="auto" w:fill="auto"/>
      <w:spacing w:after="160" w:line="259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