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4056" w:h="1963" w:wrap="none" w:hAnchor="page" w:x="1034" w:y="1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3"/>
          <w:b/>
          <w:bCs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framePr w:w="4056" w:h="1963" w:wrap="none" w:hAnchor="page" w:x="1034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УПРАВЛЕНИЕ</w:t>
        <w:br/>
        <w:t>Федеральной антимонопольной</w:t>
        <w:br/>
        <w:t>службы</w:t>
        <w:br/>
        <w:t>по Республике Татарстан</w:t>
      </w:r>
    </w:p>
    <w:p>
      <w:pPr>
        <w:pStyle w:val="Style4"/>
        <w:keepNext w:val="0"/>
        <w:keepLines w:val="0"/>
        <w:framePr w:w="2938" w:h="629" w:wrap="none" w:hAnchor="page" w:x="1605" w:y="2223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5"/>
        </w:rPr>
        <w:t>ул. Московская, д. 55, г. Казань, 420021</w:t>
        <w:br/>
        <w:t>тел.: (843)236-89-22, факс (843) 238-19-46</w:t>
        <w:br/>
      </w:r>
      <w:r>
        <w:rPr>
          <w:rStyle w:val="CharStyle5"/>
          <w:lang w:val="en-US" w:eastAsia="en-US"/>
        </w:rPr>
        <w:t xml:space="preserve">e-mail: </w:t>
      </w:r>
      <w:r>
        <w:fldChar w:fldCharType="begin"/>
      </w:r>
      <w:r>
        <w:rPr/>
        <w:instrText> HYPERLINK "mailto:tol6@fas.gov.ru" </w:instrText>
      </w:r>
      <w:r>
        <w:fldChar w:fldCharType="separate"/>
      </w:r>
      <w:r>
        <w:rPr>
          <w:rStyle w:val="CharStyle5"/>
          <w:lang w:val="en-US" w:eastAsia="en-US"/>
        </w:rPr>
        <w:t>tol6@fas.gov.ru</w:t>
      </w:r>
      <w:r>
        <w:fldChar w:fldCharType="end"/>
      </w:r>
    </w:p>
    <w:p>
      <w:pPr>
        <w:pStyle w:val="Style2"/>
        <w:keepNext w:val="0"/>
        <w:keepLines w:val="0"/>
        <w:framePr w:w="4008" w:h="326" w:wrap="none" w:hAnchor="page" w:x="1091" w:y="3726"/>
        <w:widowControl w:val="0"/>
        <w:shd w:val="clear" w:color="auto" w:fill="auto"/>
        <w:bidi w:val="0"/>
        <w:spacing w:before="80" w:after="0" w:line="240" w:lineRule="auto"/>
        <w:ind w:left="0" w:right="0" w:firstLine="0"/>
        <w:jc w:val="left"/>
      </w:pPr>
      <w:r>
        <w:rPr>
          <w:rStyle w:val="CharStyle3"/>
        </w:rPr>
        <w:t xml:space="preserve">На </w:t>
      </w:r>
      <w:r>
        <w:rPr>
          <w:rStyle w:val="CharStyle3"/>
          <w:color w:val="5B6A95"/>
        </w:rPr>
        <w:t>№</w:t>
      </w:r>
      <w:r>
        <w:rPr>
          <w:rStyle w:val="CharStyle3"/>
        </w:rPr>
        <w:t>от</w:t>
      </w:r>
    </w:p>
    <w:p>
      <w:pPr>
        <w:pStyle w:val="Style2"/>
        <w:keepNext w:val="0"/>
        <w:keepLines w:val="0"/>
        <w:framePr w:w="3720" w:h="8150" w:wrap="none" w:hAnchor="page" w:x="7067" w:y="1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3"/>
          <w:b/>
          <w:bCs/>
        </w:rPr>
        <w:t>МОНОПОЛИЯМ КАРШЫ</w:t>
        <w:br/>
        <w:t>ФЕДЕРАЛЬ ХЕЗМЭТ</w:t>
      </w:r>
    </w:p>
    <w:p>
      <w:pPr>
        <w:pStyle w:val="Style2"/>
        <w:keepNext w:val="0"/>
        <w:keepLines w:val="0"/>
        <w:framePr w:w="3720" w:h="8150" w:wrap="none" w:hAnchor="page" w:x="7067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Монополиягэ каршы</w:t>
        <w:br/>
        <w:t>Федераль хезмэтнец</w:t>
      </w:r>
    </w:p>
    <w:p>
      <w:pPr>
        <w:pStyle w:val="Style2"/>
        <w:keepNext w:val="0"/>
        <w:keepLines w:val="0"/>
        <w:framePr w:w="3720" w:h="8150" w:wrap="none" w:hAnchor="page" w:x="7067" w:y="1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3"/>
          <w:b/>
          <w:bCs/>
        </w:rPr>
        <w:t>Татарстан Республикасы</w:t>
        <w:br/>
        <w:t>буенча идарэсе</w:t>
      </w:r>
    </w:p>
    <w:p>
      <w:pPr>
        <w:pStyle w:val="Style4"/>
        <w:keepNext w:val="0"/>
        <w:keepLines w:val="0"/>
        <w:framePr w:w="3720" w:h="8150" w:wrap="none" w:hAnchor="page" w:x="7067" w:y="1"/>
        <w:widowControl w:val="0"/>
        <w:shd w:val="clear" w:color="auto" w:fill="auto"/>
        <w:bidi w:val="0"/>
        <w:spacing w:before="0" w:after="420"/>
        <w:ind w:left="0" w:right="0" w:firstLine="0"/>
        <w:jc w:val="center"/>
      </w:pPr>
      <w:r>
        <w:rPr>
          <w:rStyle w:val="CharStyle5"/>
        </w:rPr>
        <w:t>Москоу ур., 55 йорт. Казан шойэре, 420021</w:t>
        <w:br/>
        <w:t>тел.: (843) 236-89-22, факс (843) 238-19-46</w:t>
        <w:br/>
      </w:r>
      <w:r>
        <w:rPr>
          <w:rStyle w:val="CharStyle5"/>
          <w:lang w:val="en-US" w:eastAsia="en-US"/>
        </w:rPr>
        <w:t xml:space="preserve">e-mail: </w:t>
      </w:r>
      <w:r>
        <w:fldChar w:fldCharType="begin"/>
      </w:r>
      <w:r>
        <w:rPr/>
        <w:instrText> HYPERLINK "mailto:tol6@fas.gov.ru" </w:instrText>
      </w:r>
      <w:r>
        <w:fldChar w:fldCharType="separate"/>
      </w:r>
      <w:r>
        <w:rPr>
          <w:rStyle w:val="CharStyle5"/>
          <w:lang w:val="en-US" w:eastAsia="en-US"/>
        </w:rPr>
        <w:t>tol6@fas.gov.ru</w:t>
      </w:r>
      <w:r>
        <w:fldChar w:fldCharType="end"/>
      </w:r>
    </w:p>
    <w:p>
      <w:pPr>
        <w:pStyle w:val="Style8"/>
        <w:keepNext w:val="0"/>
        <w:keepLines w:val="0"/>
        <w:framePr w:w="3720" w:h="8150" w:wrap="none" w:hAnchor="page" w:x="7067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Заказчику:</w:t>
      </w:r>
    </w:p>
    <w:p>
      <w:pPr>
        <w:pStyle w:val="Style8"/>
        <w:keepNext w:val="0"/>
        <w:keepLines w:val="0"/>
        <w:framePr w:w="3720" w:h="8150" w:wrap="none" w:hAnchor="page" w:x="7067" w:y="1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w:rPr>
          <w:rStyle w:val="CharStyle9"/>
        </w:rPr>
        <w:t xml:space="preserve">ГАУ СО «Реабилитационный центр для детей и подростков с ограниченными возможностями Министерства труда, занятости и социальной защиты Республики Татарстан «Астра» в Елабужском муниципальном районе» </w:t>
      </w:r>
      <w:r>
        <w:fldChar w:fldCharType="begin"/>
      </w:r>
      <w:r>
        <w:rPr/>
        <w:instrText> HYPERLINK "mailto:Rcdpov.Astra-elabuga@tatar.ru" </w:instrText>
      </w:r>
      <w:r>
        <w:fldChar w:fldCharType="separate"/>
      </w:r>
      <w:r>
        <w:rPr>
          <w:rStyle w:val="CharStyle9"/>
          <w:u w:val="single"/>
          <w:lang w:val="en-US" w:eastAsia="en-US"/>
        </w:rPr>
        <w:t>Rcdpov.Astra-elabuga@tatar.ru</w:t>
      </w:r>
      <w:r>
        <w:fldChar w:fldCharType="end"/>
      </w:r>
      <w:r>
        <w:rPr>
          <w:rStyle w:val="CharStyle9"/>
          <w:u w:val="single"/>
          <w:lang w:val="en-US" w:eastAsia="en-US"/>
        </w:rPr>
        <w:t xml:space="preserve"> </w:t>
      </w:r>
      <w:r>
        <w:fldChar w:fldCharType="begin"/>
      </w:r>
      <w:r>
        <w:rPr/>
        <w:instrText> HYPERLINK "mailto:astra-elabuga@mail.ru" </w:instrText>
      </w:r>
      <w:r>
        <w:fldChar w:fldCharType="separate"/>
      </w:r>
      <w:r>
        <w:rPr>
          <w:rStyle w:val="CharStyle9"/>
          <w:u w:val="single"/>
          <w:lang w:val="en-US" w:eastAsia="en-US"/>
        </w:rPr>
        <w:t>astra-elabuga@mail.ru</w:t>
      </w:r>
      <w:r>
        <w:fldChar w:fldCharType="end"/>
      </w:r>
    </w:p>
    <w:p>
      <w:pPr>
        <w:pStyle w:val="Style8"/>
        <w:keepNext w:val="0"/>
        <w:keepLines w:val="0"/>
        <w:framePr w:w="3720" w:h="8150" w:wrap="none" w:hAnchor="page" w:x="7067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Заявителю:</w:t>
      </w:r>
    </w:p>
    <w:p>
      <w:pPr>
        <w:pStyle w:val="Style8"/>
        <w:keepNext w:val="0"/>
        <w:keepLines w:val="0"/>
        <w:framePr w:w="3720" w:h="8150" w:wrap="none" w:hAnchor="page" w:x="7067" w:y="1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</w:pPr>
      <w:r>
        <w:rPr>
          <w:rStyle w:val="CharStyle9"/>
        </w:rPr>
        <w:t xml:space="preserve">ООО «КОМПАНЬОН» </w:t>
      </w:r>
      <w:r>
        <w:fldChar w:fldCharType="begin"/>
      </w:r>
      <w:r>
        <w:rPr/>
        <w:instrText> HYPERLINK "mailto:tender2@kompanion.su" </w:instrText>
      </w:r>
      <w:r>
        <w:fldChar w:fldCharType="separate"/>
      </w:r>
      <w:r>
        <w:rPr>
          <w:rStyle w:val="CharStyle9"/>
          <w:u w:val="single"/>
          <w:lang w:val="en-US" w:eastAsia="en-US"/>
        </w:rPr>
        <w:t>tender2@kompanion.su</w:t>
      </w:r>
      <w:r>
        <w:fldChar w:fldCharType="end"/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3587750</wp:posOffset>
            </wp:positionH>
            <wp:positionV relativeFrom="margin">
              <wp:posOffset>130810</wp:posOffset>
            </wp:positionV>
            <wp:extent cx="579120" cy="65214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79120" cy="65214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8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906" w:right="653" w:bottom="1094" w:left="975" w:header="478" w:footer="666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rStyle w:val="CharStyle9"/>
          <w:b/>
          <w:bCs/>
        </w:rPr>
        <w:t>Решение по делу №016/06/48-628/2026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6376670</wp:posOffset>
                </wp:positionH>
                <wp:positionV relativeFrom="paragraph">
                  <wp:posOffset>12700</wp:posOffset>
                </wp:positionV>
                <wp:extent cx="719455" cy="216535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1945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9"/>
                              </w:rPr>
                              <w:t>г. Казань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02.10000000000002pt;margin-top:1.pt;width:56.649999999999999pt;height:17.05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9"/>
                        </w:rPr>
                        <w:t>г. Казань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9"/>
        </w:rPr>
        <w:t>7 мая 2026 года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- Комиссия) в составе:</w:t>
      </w:r>
    </w:p>
    <w:tbl>
      <w:tblPr>
        <w:tblOverlap w:val="never"/>
        <w:jc w:val="center"/>
        <w:tblLayout w:type="fixed"/>
      </w:tblPr>
      <w:tblGrid>
        <w:gridCol w:w="4584"/>
        <w:gridCol w:w="5674"/>
      </w:tblGrid>
      <w:tr>
        <w:trPr>
          <w:trHeight w:val="634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</w:pPr>
            <w:r>
              <w:rPr>
                <w:rStyle w:val="CharStyle15"/>
              </w:rPr>
              <w:t>Зам. Председателя Комиссии: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80" w:right="0" w:firstLine="0"/>
              <w:jc w:val="left"/>
            </w:pPr>
            <w:r>
              <w:rPr>
                <w:rStyle w:val="CharStyle15"/>
              </w:rPr>
              <w:t>Кучеевой А.С. - начальника отдела,</w:t>
            </w:r>
          </w:p>
        </w:tc>
      </w:tr>
      <w:tr>
        <w:trPr>
          <w:trHeight w:val="1296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</w:pPr>
            <w:r>
              <w:rPr>
                <w:rStyle w:val="CharStyle15"/>
              </w:rPr>
              <w:t>Членов Комиссии: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80" w:right="0" w:firstLine="0"/>
              <w:jc w:val="left"/>
            </w:pPr>
            <w:r>
              <w:rPr>
                <w:rStyle w:val="CharStyle15"/>
              </w:rPr>
              <w:t>Клавдиевой М.Р. - специалиста 1 разряда, Николашиной Е.С. - специалиста 1 разряда,</w:t>
            </w:r>
          </w:p>
        </w:tc>
      </w:tr>
    </w:tbl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06" w:right="653" w:bottom="906" w:left="975" w:header="0" w:footer="3" w:gutter="0"/>
          <w:cols w:space="720"/>
          <w:noEndnote/>
          <w:rtlGutter w:val="0"/>
          <w:docGrid w:linePitch="360"/>
        </w:sectPr>
      </w:pPr>
      <w:r>
        <w:rPr>
          <w:rStyle w:val="CharStyle9"/>
        </w:rPr>
        <w:t>в присутствии представителей заказчика - Калашниковой Г.В. (по доверенности), в отсутствии представителей заявителя, извещенных должным образом, рассмотрев жалобу (вх. №4084/ж от 04.05.2026) на действия заказчика - ГАУСО «Реабилитационный центр для детей и подростков с ограниченными возможностями Министерства труда, занятости и социальной защиты Республики Татарстан «Астра» в Елабужском муниципальном районе» при проведении закупки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both"/>
      </w:pPr>
      <w:r>
        <w:rPr>
          <w:rStyle w:val="CharStyle9"/>
          <w:lang w:val="en-US" w:eastAsia="en-US"/>
        </w:rPr>
        <w:t xml:space="preserve">№0711200008826000023 </w:t>
      </w:r>
      <w:r>
        <w:rPr>
          <w:rStyle w:val="CharStyle9"/>
        </w:rPr>
        <w:t>на предмет: «Интерактивная стойка со встроенной индукционной системой для передачи звука на слуховые аппараты (персональные цифровые ассистенты)»,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rStyle w:val="CharStyle9"/>
        </w:rPr>
        <w:t>УСТАНОВИЛА: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Извещение о проведении электронного аукциона №0711200008826000023 размещено на официальном сайте Российской Федерации для размещения информации о размещении заказов 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9"/>
          <w:u w:val="single"/>
          <w:lang w:val="en-US" w:eastAsia="en-US"/>
        </w:rPr>
        <w:t>www.zakupki.gov.ru</w:t>
      </w:r>
      <w:r>
        <w:fldChar w:fldCharType="end"/>
      </w:r>
      <w:r>
        <w:rPr>
          <w:rStyle w:val="CharStyle9"/>
          <w:lang w:val="en-US" w:eastAsia="en-US"/>
        </w:rPr>
        <w:t xml:space="preserve"> </w:t>
      </w:r>
      <w:r>
        <w:rPr>
          <w:rStyle w:val="CharStyle9"/>
        </w:rPr>
        <w:t>21.04.2026г.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Суть жалоб: по мнению заявителя, при проведении закупки нарушены требования действующего законодательства о контрактной системе.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  <w:b/>
          <w:bCs/>
        </w:rPr>
        <w:t>Комиссия Татарстанского УФАС России по результатам рассмотрения доводов заявителей, позиции заказчика и изучения документации закупки приходит к следующим выводам.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  <w:i/>
          <w:iCs/>
        </w:rPr>
        <w:t>Относительно довода заявителя о неправомерном рассмотрении комиссией заказчика заявок на участие в электронном аукционе.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В силу пункта 2 части 2 статьи 14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— Закон №44-ФЗ), Правительство Российской Федерации определяет информацию и перечень документов, которые подтверждают страну происхождения товара для целей настоящего Федерального закона, в случае принятия мер, предусмотренных пунктом 1 настоящей части.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Пункт 4 части 12 статьи 48 Закона №44-ФЗ устанавливает, что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предусмотренных подпунктом «а» пункта 1 (за исключением случая, предусмотренного пунктом 5 настоящей части), </w:t>
      </w:r>
      <w:r>
        <w:rPr>
          <w:rStyle w:val="CharStyle9"/>
          <w:u w:val="single"/>
        </w:rPr>
        <w:t xml:space="preserve">подпунктом «а» пункта 2 части 4, </w:t>
      </w:r>
      <w:r>
        <w:rPr>
          <w:rStyle w:val="CharStyle9"/>
        </w:rPr>
        <w:t>подпунктом «а» пункта 1 (за исключением случая, предусмотренного пунктом 5 настоящей части), пунктом 2 части 5 статьи 14 настоящего Федерального закона.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В соответствии с подпунктом «а» пункта 2 части 4 статьи 14 Закона №44-ФЗ, при осуществлении закупки товара: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если Правительством Российской Федерации установлено предусмотренное подпунктом «б» пункта 1 части 2 настоящей статьи ограничение закупок товара: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а) </w:t>
      </w:r>
      <w:r>
        <w:rPr>
          <w:rStyle w:val="CharStyle9"/>
          <w:u w:val="single"/>
        </w:rPr>
        <w:t>все заявки на участие в закупке, содержащие предложения о поставке такого товара, происходящего из иностранного государства, подлежат отклонению</w:t>
      </w:r>
      <w:r>
        <w:rPr>
          <w:rStyle w:val="CharStyle9"/>
        </w:rPr>
        <w:t xml:space="preserve"> в соответствии с настоящим Федеральным законом, </w:t>
      </w:r>
      <w:r>
        <w:rPr>
          <w:rStyle w:val="CharStyle9"/>
          <w:u w:val="single"/>
        </w:rPr>
        <w:t xml:space="preserve">если на участие в закупке подана </w:t>
      </w:r>
      <w:r>
        <w:rPr>
          <w:rStyle w:val="CharStyle9"/>
        </w:rPr>
        <w:t xml:space="preserve">и по результатам рассмотрения </w:t>
      </w:r>
      <w:r>
        <w:rPr>
          <w:rStyle w:val="CharStyle9"/>
          <w:u w:val="single"/>
        </w:rPr>
        <w:t xml:space="preserve">признана соответствующей требованиям извещения </w:t>
      </w:r>
      <w:r>
        <w:rPr>
          <w:rStyle w:val="CharStyle9"/>
        </w:rPr>
        <w:t xml:space="preserve">об осуществлении закупки, документации о закупке (если настоящим Федеральным законом предусмотрена документация о закупке) </w:t>
      </w:r>
      <w:r>
        <w:rPr>
          <w:rStyle w:val="CharStyle9"/>
          <w:u w:val="single"/>
        </w:rPr>
        <w:t>заявка, содержащая предложение о поставке такого товара российского происхождения</w:t>
      </w:r>
      <w:r>
        <w:rPr>
          <w:rStyle w:val="CharStyle9"/>
        </w:rPr>
        <w:t>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headerReference w:type="default" r:id="rId7"/>
          <w:footerReference w:type="default" r:id="rId8"/>
          <w:footnotePr>
            <w:pos w:val="pageBottom"/>
            <w:numFmt w:val="decimal"/>
            <w:numRestart w:val="continuous"/>
          </w:footnotePr>
          <w:pgSz w:w="11900" w:h="16840"/>
          <w:pgMar w:top="1213" w:right="623" w:bottom="1213" w:left="982" w:header="0" w:footer="3" w:gutter="0"/>
          <w:cols w:space="720"/>
          <w:noEndnote/>
          <w:rtlGutter w:val="0"/>
          <w:docGrid w:linePitch="360"/>
        </w:sectPr>
      </w:pPr>
      <w:r>
        <w:rPr>
          <w:rStyle w:val="CharStyle9"/>
        </w:rPr>
        <w:t xml:space="preserve">В соответствии со статьей 6 Закона №44-ФЗ, контрактная система в сфере закупок основывается на </w:t>
      </w:r>
      <w:r>
        <w:rPr>
          <w:rStyle w:val="CharStyle9"/>
          <w:u w:val="single"/>
        </w:rPr>
        <w:t>принципах открытости, прозрачности информации о контрактной системе в сфере закупок, обеспечения конкуренции,</w:t>
      </w:r>
      <w:r>
        <w:rPr>
          <w:rStyle w:val="CharStyle9"/>
        </w:rPr>
        <w:t xml:space="preserve"> профессионализма заказчиков, стимулирования инноваций, единства контрактной системы в сфере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</w:rPr>
        <w:t>закупок, ответственности за результативность обеспечения государственных и муниципальных нужд, эффективности осуществления закупок.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Пункт 5 части 1 статьи 43 Закона №44-ФЗ регламентирует, что для участия в конкурентном способе </w:t>
      </w:r>
      <w:r>
        <w:rPr>
          <w:rStyle w:val="CharStyle9"/>
          <w:u w:val="single"/>
        </w:rPr>
        <w:t>заявка</w:t>
      </w:r>
      <w:r>
        <w:rPr>
          <w:rStyle w:val="CharStyle9"/>
        </w:rPr>
        <w:t xml:space="preserve"> на участие в закупке, если иное не предусмотрено настоящим Федеральным законом, </w:t>
      </w:r>
      <w:r>
        <w:rPr>
          <w:rStyle w:val="CharStyle9"/>
          <w:u w:val="single"/>
        </w:rPr>
        <w:t>должна содержать: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5) информация и документы, определенные в соответствии с пунктом 2 части 2 статьи 14 настоящего Федерального закона (в случае, если в извещении об осуществлении закупки, документации о закупке (если настоящим Федеральным законом предусмотрена документация о закупке) </w:t>
      </w:r>
      <w:r>
        <w:rPr>
          <w:rStyle w:val="CharStyle9"/>
          <w:u w:val="single"/>
        </w:rPr>
        <w:t>установлены</w:t>
      </w:r>
      <w:r>
        <w:rPr>
          <w:rStyle w:val="CharStyle9"/>
        </w:rPr>
        <w:t xml:space="preserve"> предусмотренные указанной статьей запрет, </w:t>
      </w:r>
      <w:r>
        <w:rPr>
          <w:rStyle w:val="CharStyle9"/>
          <w:u w:val="single"/>
        </w:rPr>
        <w:t xml:space="preserve">ограничение, </w:t>
      </w:r>
      <w:r>
        <w:rPr>
          <w:rStyle w:val="CharStyle9"/>
        </w:rPr>
        <w:t xml:space="preserve">преимущество). </w:t>
      </w:r>
      <w:r>
        <w:rPr>
          <w:rStyle w:val="CharStyle9"/>
          <w:u w:val="single"/>
        </w:rPr>
        <w:t>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государства, работ, услуг, соответственно выполняемых, оказываемых иностранными лицами.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Абзац 3 пункта 1 Постановления №1875 устанавливает, что при осуществлении закупок в соответствии с Федеральным законом «О контрактной системе в сфере закупок товаров, работ, услуг для обеспечения государственных и муниципальных нужд» и закупок в соответствии с Федеральным законом «О закупках товаров, работ, услуг отдельными видами юридических лиц»: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-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№2.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Подпункт «а» пункта 3 Постановления №1875 устанавливает, что информацией и документами, подтверждающими страну происхождения товара для целей настоящего постановления, являются: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а) для подтверждения происхождения товаров, указанных в позициях 1-145 приложения </w:t>
      </w:r>
      <w:r>
        <w:rPr>
          <w:rStyle w:val="CharStyle9"/>
          <w:lang w:val="en-US" w:eastAsia="en-US"/>
        </w:rPr>
        <w:t xml:space="preserve">N </w:t>
      </w:r>
      <w:r>
        <w:rPr>
          <w:rStyle w:val="CharStyle9"/>
        </w:rPr>
        <w:t xml:space="preserve">1 к настоящему постановлению, </w:t>
      </w:r>
      <w:r>
        <w:rPr>
          <w:rStyle w:val="CharStyle9"/>
          <w:u w:val="single"/>
        </w:rPr>
        <w:t xml:space="preserve">позициях 1 - 433 приложения </w:t>
      </w:r>
      <w:r>
        <w:rPr>
          <w:rStyle w:val="CharStyle9"/>
          <w:u w:val="single"/>
          <w:lang w:val="en-US" w:eastAsia="en-US"/>
        </w:rPr>
        <w:t xml:space="preserve">N </w:t>
      </w:r>
      <w:r>
        <w:rPr>
          <w:rStyle w:val="CharStyle9"/>
          <w:u w:val="single"/>
        </w:rPr>
        <w:t>2 к настоящему постановлению</w:t>
      </w:r>
      <w:r>
        <w:rPr>
          <w:rStyle w:val="CharStyle9"/>
        </w:rPr>
        <w:t xml:space="preserve">, приложении </w:t>
      </w:r>
      <w:r>
        <w:rPr>
          <w:rStyle w:val="CharStyle9"/>
          <w:lang w:val="en-US" w:eastAsia="en-US"/>
        </w:rPr>
        <w:t xml:space="preserve">N </w:t>
      </w:r>
      <w:r>
        <w:rPr>
          <w:rStyle w:val="CharStyle9"/>
        </w:rPr>
        <w:t xml:space="preserve">3 к настоящему постановлению, из Российской Федерации - номер реестровой записи из реестра российской промышленной продукции, предусмотренного статьей 17.1 Федерального закона «О промышленной политике в Российской Федерации» (далее - реестр российской промышленной продукции), и справка, подтверждающая наличие специального инвестиционного контракта и предусмотренная пунктом 1(1) постановления Правительства Российской Федерации от 17 июля 2015 г. </w:t>
      </w:r>
      <w:r>
        <w:rPr>
          <w:rStyle w:val="CharStyle9"/>
          <w:lang w:val="en-US" w:eastAsia="en-US"/>
        </w:rPr>
        <w:t xml:space="preserve">N </w:t>
      </w:r>
      <w:r>
        <w:rPr>
          <w:rStyle w:val="CharStyle9"/>
        </w:rPr>
        <w:t xml:space="preserve">719 «О подтверждении производства российской промышленной продукции», или </w:t>
      </w:r>
      <w:r>
        <w:rPr>
          <w:rStyle w:val="CharStyle9"/>
          <w:u w:val="single"/>
        </w:rPr>
        <w:t>номер реестровой записи из реестра российской промышленной продукции, содержащей в том числе</w:t>
      </w:r>
      <w:r>
        <w:rPr>
          <w:rStyle w:val="CharStyle9"/>
        </w:rPr>
        <w:t>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headerReference w:type="default" r:id="rId9"/>
          <w:footerReference w:type="default" r:id="rId10"/>
          <w:footnotePr>
            <w:pos w:val="pageBottom"/>
            <w:numFmt w:val="decimal"/>
            <w:numRestart w:val="continuous"/>
          </w:footnotePr>
          <w:pgSz w:w="11900" w:h="16840"/>
          <w:pgMar w:top="1073" w:right="625" w:bottom="1073" w:left="983" w:header="0" w:footer="645" w:gutter="0"/>
          <w:cols w:space="720"/>
          <w:noEndnote/>
          <w:rtlGutter w:val="0"/>
          <w:docGrid w:linePitch="360"/>
        </w:sectPr>
      </w:pPr>
      <w:r>
        <w:rPr>
          <w:rStyle w:val="CharStyle9"/>
        </w:rPr>
        <w:t xml:space="preserve">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17 июля 2015 г. </w:t>
      </w:r>
      <w:r>
        <w:rPr>
          <w:rStyle w:val="CharStyle9"/>
          <w:lang w:val="en-US" w:eastAsia="en-US"/>
        </w:rPr>
        <w:t xml:space="preserve">N </w:t>
      </w:r>
      <w:r>
        <w:rPr>
          <w:rStyle w:val="CharStyle9"/>
        </w:rPr>
        <w:t>719 «О подтверждении производства российской промышленной продукции»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</w:rPr>
        <w:t xml:space="preserve">постановлением Правительства Российской Федерации от 17 июля 2015 г. </w:t>
      </w:r>
      <w:r>
        <w:rPr>
          <w:rStyle w:val="CharStyle9"/>
          <w:lang w:val="en-US" w:eastAsia="en-US"/>
        </w:rPr>
        <w:t xml:space="preserve">N </w:t>
      </w:r>
      <w:r>
        <w:rPr>
          <w:rStyle w:val="CharStyle9"/>
        </w:rPr>
        <w:t xml:space="preserve">719 «О подтверждении производства российской промышленной продукции», включая значение, определенное для целей осуществления закупок (если постановлением Правительства Российской Федерации от 17 июля 2015 г. </w:t>
      </w:r>
      <w:r>
        <w:rPr>
          <w:rStyle w:val="CharStyle9"/>
          <w:lang w:val="en-US" w:eastAsia="en-US"/>
        </w:rPr>
        <w:t xml:space="preserve">N </w:t>
      </w:r>
      <w:r>
        <w:rPr>
          <w:rStyle w:val="CharStyle9"/>
        </w:rPr>
        <w:t>719 «О подтверждении производства российской промышленной продукции» в отношении такого товара определено значение для целей осуществления закупок);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 xml:space="preserve">информацию </w:t>
      </w:r>
      <w:r>
        <w:rPr>
          <w:rStyle w:val="CharStyle9"/>
          <w:u w:val="single"/>
        </w:rPr>
        <w:t>об уровне радиоэлектронной продукции</w:t>
      </w:r>
      <w:r>
        <w:rPr>
          <w:rStyle w:val="CharStyle9"/>
        </w:rPr>
        <w:t xml:space="preserve"> (для товара, являющегося в соответствии с постановлением Правительства Российской Федерации от 17 июля 2015 г. </w:t>
      </w:r>
      <w:r>
        <w:rPr>
          <w:rStyle w:val="CharStyle9"/>
          <w:lang w:val="en-US" w:eastAsia="en-US"/>
        </w:rPr>
        <w:t xml:space="preserve">N </w:t>
      </w:r>
      <w:r>
        <w:rPr>
          <w:rStyle w:val="CharStyle9"/>
        </w:rPr>
        <w:t>719 «О подтверждении производства российской промышленной продукции» радиоэлектронной продукцией первого уровня или радиоэлектронной продукцией второго уровня).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>В соответствии с Постановлением Правительства РФ от 17.07.2015 №719 «О подтверждении производства российской промышленной продукции» (далее - Постановление №719), позиция с кодом ОКПД2 26.20.16 (за исключением 26.20.16.120) «Устройства ввода или вывода, содержащие или не содержащие в одном корпусе запоминающие устройства (кроме сканеров биометрических, сканеров штрихкодов)» включена в раздел IX «Продукция радиоэлектроники» Приложения к данному Постановлению.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>Примечание 26 к Приложению Постановления №719 устанавливает, что продукция, которая включена в раздел IX настоящего приложения и для которой установлены баллы за выполнение технологической операции по применению центрального процессора, удовлетворяющего требованиям к интегральной схеме первого уровня или интегральной схеме второго уровня, предъявляемым в целях ее отнесения к российской промышленной продукции, в случае выполнения соответствующей технологической операции признается радиоэлектронной продукцией первого уровня, в случае невыполнения и применения в ее составе центрального процессора - радиоэлектронной продукцией второго уровня.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>Заявитель указывает, что на участие в данном электронном аукционе им была подана заявка №2372331, содержащая предложение о поставке информационного терминала/интерактивного киоска «Инфо-1» модель «Стойка», страна происхождения товара - Россия, реестровый номер 10620923, при этом сведения об уровне радиоэлектронной продукции в соответствии с Постановлением Правительства Российской Федерации №719 от 17.07.2015 содержат указание на второй уровень. Изучив итоговый протокол, заявитель пришел к выводу, что заказчиком при определении победителя не были учтены должным образом ограничения по допуску товаров, установленные положениями законодательства.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160" w:right="565" w:bottom="1160" w:left="1010" w:header="0" w:footer="732" w:gutter="0"/>
          <w:cols w:space="720"/>
          <w:noEndnote/>
          <w:rtlGutter w:val="0"/>
          <w:docGrid w:linePitch="360"/>
        </w:sectPr>
      </w:pPr>
      <w:r>
        <w:rPr>
          <w:rStyle w:val="CharStyle9"/>
        </w:rPr>
        <w:t>По мнению заявителя, в случае отсутствия заявок на товары первого уровня рассматриваются предложения по товарам второго уровня, при этом для товаров второго уровня применяются общие правила отклонения заявок с иностранной радиоэлектроникой, за исключением товаров, происходящих из государств - членов Евразийского экономического союза. Заявитель полагает, что при наличии хотя бы одной заявки с предложением радиоэлектронной продукции второго уровня заказчик обязан отклонить все остальные заявки, за исключением заявок с информацией о первом уровне радиоэлектронной продукции.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В связи с изложенным заявитель считает, что заявки были рассмотрены комиссией ненадлежащим образом.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Заказчик указывает, что по результатам рассмотрения шести заявок комиссией установлено отсутствие в их составе предложений о поставке радиоэлектронной продукции первого уровня. Однако заказчик признаёт техническую ошибку при формировании протокола, которая привела к тому, что участник, не представивший реестровый номер в подтверждение российского происхождения товара, в соответствии с требованиями законодательства подлежал отклонению. При этом заказчик сообщает о направлении письма в уполномоченный орган для пересмотра протокола. Заказчик также отмечает, что замена протокола не повлияет на результаты определения поставщика, поскольку заявка победителя полностью соответствует требованиям извещения.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Изучив документацию о проведении закупки, Комиссией установлено, что заказчиком в структурированной форме извещения применено ограничение закупок товаров, происходящих из иностранных государств, выполняемых работ, оказываемых услуг иностранными лицами в соответствии с позицией 200 Приложения №2 к Постановлению №1875 «Устройства ввода или вывода, содержащие или не содержащие в одном корпусе запоминающие устройства (код ОКПД2 26.20.16.140)».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По результатам анализа заявок, поданных на участие в электронном аукционе, Комиссией установлены следующие номера заявок и представленные в их составе реестровые записи из реестра российской промышленной продукции: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1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Заявка №2370546 — представлена реестровая запись №10685638.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0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Заявка №2370830 — представлена реестровая запись №10533282.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0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Заявка №2371951 — представлена реестровая запись №10533282.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9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Заявка №23 72086 — реестровая запись не представлена. В заявке указано, что номер реестровой записи отсутствует.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0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Заявка №23 72279 — представлена реестровая запись №10720997.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0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Заявка №2372331 — представлена реестровая запись № 10620923.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Кроме того, Комиссией установлено, что по результатам анализа заявок участников данной закупки в Едином реестре российской промышленной продукции (ГИСП) подтверждено наличие у заявок участников (за исключением заявки №2372086) реестровых записей, содержащих сведения об отнесении предлагаемой радиоэлектронной продукции к продукции второго уровня. Заявок, содержащих предложение о поставке товаров, включенных в реестр российской промышленной продукции и отнесенных к первому уровню радиоэлектронной продукции, в рамках настоящей закупки подано не было.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Вместе с тем, Комиссия отмечает, что отсутствие в заявке участника №2372086 номера реестровой записи из реестра российской промышленной продукции предлагаемого к поставке товара свидетельствует о неподтверждении российского происхождения товара и приравнивает такую заявку к заявке с предложением о поставке товара иностранного происхождения.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072" w:right="629" w:bottom="1072" w:left="989" w:header="0" w:footer="644" w:gutter="0"/>
          <w:cols w:space="720"/>
          <w:noEndnote/>
          <w:rtlGutter w:val="0"/>
          <w:docGrid w:linePitch="360"/>
        </w:sectPr>
      </w:pPr>
      <w:r>
        <w:rPr>
          <w:rStyle w:val="CharStyle9"/>
        </w:rPr>
        <w:t>Вопреки требованиям Закона о конкурентной системе, закупочная комиссия Заказчика приняла решение признать данную заявку соответствующей извещению 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</w:rPr>
        <w:t>допустила к участию в электронном аукционе, что подтверждается протоколом подведения итогов от 3 0.04.2026. Указанные действия комиссии свидетельствуют о нарушении требований действующего законодательства, поскольку в извещении о проведении закупки установлено ограничение допуска товаров, происходящих из иностранных государств, а заявка, не подтвердившая российское происхождение товара, не могла быть признана надлежащей.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В отношении доводов жалобы заявителя о необходимости отклонения всех заявок, содержащих предложения о поставке радиоэлектронной продукции второго уровня Комиссия отмечает следующее.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Так как из материалов закупки следует, что заявки участников №23 72279, №2372331, №2370830, №2371951, №2370546 содержали номера реестровых записей и подтверждали предложение к поставке радиоэлектронной продукции второго уровня, в отсутствие заявок, содержащих предложение о поставке товара первого уровня у закупочной комиссии отсутствовали основания для отклонения заявок, содержащих предложения о поставке радиоэлектронной продукции второго уровня. В указанной части действия доводы заявителя являются необоснованными.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Комиссия также принимает во внимание, что в результате неправомерного признания заявки №2372086 соответствующей требованиям извещения была нарушена конкуренция, однако данное нарушение не повлияло на итоговое определение победителя, поскольку победителем признан участник, заявка которого содержала действующую реестровую запись.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Вместе с тем, сам факт нарушения порядка рассмотрения заявок свидетельствует о нарушении принципа обеспечения конкуренции, предусмотренного пунктом 2 части 1 статьи 6 Закона №44-ФЗ, а также требований пункта 4 части 12 статьи 48, подпункта «а» пункта 2 части 4 статьи 14, статьей 6, пункта 5 части 1 статьи 43 Закона №44-ФЗ.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В связи с этим, а также принимая во внимание, что протокол подведения итогов электронного аукциона содержит недостоверные сведения о результатах рассмотрения заявок, Комиссия приходит к выводу о необходимости выдачи заказчику обязательного для исполнения предписания об устранении выявленных нарушений.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20"/>
        <w:jc w:val="both"/>
      </w:pPr>
      <w:r>
        <w:rPr>
          <w:rStyle w:val="CharStyle9"/>
        </w:rPr>
        <w:t>На основании вышеизложенного, руководствуясь пунктом 2 части 22 статьи 99, частью 8 статьи 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нужд», Комиссия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rStyle w:val="CharStyle9"/>
        </w:rPr>
        <w:t>РЕШИЛА: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30" w:val="left"/>
        </w:tabs>
        <w:bidi w:val="0"/>
        <w:spacing w:before="0" w:after="320" w:line="240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170" w:right="570" w:bottom="1170" w:left="1010" w:header="0" w:footer="742" w:gutter="0"/>
          <w:cols w:space="720"/>
          <w:noEndnote/>
          <w:rtlGutter w:val="0"/>
          <w:docGrid w:linePitch="360"/>
        </w:sectPr>
      </w:pPr>
      <w:r>
        <w:rPr>
          <w:rStyle w:val="CharStyle9"/>
        </w:rPr>
        <w:t>Признать жалобу заявителя ООО «КОМПАНЬОН» (вх. №4084/ж от 04.05.2026) на действия заказчика -- ГАУСО «Реабилитационный центр для детей и подростков с ограниченными возможностями Министерства труда, занятости и социальной защиты Республики Татарстан «Астра» в Елабужском муниципальном районе» при проведении закупки №0711200008826000023 на предмет: «Интерактивная стойка со встроенной индукционной системой для передачи звука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1017905" distL="671830" distR="114300" simplePos="0" relativeHeight="125829380" behindDoc="0" locked="0" layoutInCell="1" allowOverlap="1">
                <wp:simplePos x="0" y="0"/>
                <wp:positionH relativeFrom="page">
                  <wp:posOffset>6415405</wp:posOffset>
                </wp:positionH>
                <wp:positionV relativeFrom="paragraph">
                  <wp:posOffset>4321810</wp:posOffset>
                </wp:positionV>
                <wp:extent cx="640080" cy="219710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008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9"/>
                              </w:rPr>
                              <w:t>Кучеева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05.15000000000003pt;margin-top:340.30000000000001pt;width:50.399999999999999pt;height:17.300000000000001pt;z-index:-125829373;mso-wrap-distance-left:52.899999999999999pt;mso-wrap-distance-right:9.pt;mso-wrap-distance-bottom:80.150000000000006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9"/>
                        </w:rPr>
                        <w:t>Кучеева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1021080" distB="0" distL="114300" distR="114300" simplePos="0" relativeHeight="125829382" behindDoc="0" locked="0" layoutInCell="1" allowOverlap="1">
                <wp:simplePos x="0" y="0"/>
                <wp:positionH relativeFrom="page">
                  <wp:posOffset>5857875</wp:posOffset>
                </wp:positionH>
                <wp:positionV relativeFrom="paragraph">
                  <wp:posOffset>5342890</wp:posOffset>
                </wp:positionV>
                <wp:extent cx="1197610" cy="216535"/>
                <wp:wrapSquare wrapText="lef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761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9"/>
                              </w:rPr>
                              <w:t>М.Р. Клавдиева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61.25pt;margin-top:420.69999999999999pt;width:94.299999999999997pt;height:17.050000000000001pt;z-index:-125829371;mso-wrap-distance-left:9.pt;mso-wrap-distance-top:80.400000000000006pt;mso-wrap-distance-right:9.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9"/>
                        </w:rPr>
                        <w:t>М.Р. Клавдиева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drawing>
          <wp:anchor distT="0" distB="0" distL="0" distR="0" simplePos="0" relativeHeight="62914697" behindDoc="1" locked="0" layoutInCell="1" allowOverlap="1">
            <wp:simplePos x="0" y="0"/>
            <wp:positionH relativeFrom="margin">
              <wp:posOffset>3285490</wp:posOffset>
            </wp:positionH>
            <wp:positionV relativeFrom="margin">
              <wp:posOffset>3700145</wp:posOffset>
            </wp:positionV>
            <wp:extent cx="2621280" cy="2066290"/>
            <wp:wrapNone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621280" cy="20662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8" behindDoc="1" locked="0" layoutInCell="1" allowOverlap="1">
            <wp:simplePos x="0" y="0"/>
            <wp:positionH relativeFrom="margin">
              <wp:posOffset>3364865</wp:posOffset>
            </wp:positionH>
            <wp:positionV relativeFrom="margin">
              <wp:posOffset>5922010</wp:posOffset>
            </wp:positionV>
            <wp:extent cx="2066290" cy="853440"/>
            <wp:wrapNone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066290" cy="85344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9"/>
        </w:rPr>
        <w:t>на слуховые аппараты (персональные цифровые ассистенты)», частично обоснованной в части необоснованного признания одной из заявок соответствующей требованиям закупочной документации.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3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9"/>
        </w:rPr>
        <w:t>Признать Заказчика ГАУСО «Реабилитационный центр для детей и подростков с ограниченными возможностями Министерства труда, занятости и социальной защиты Республики Татарстан «Астра» в Елабужском муниципальном районе» нарушившим требования пункта 4 части 12 статьи 48, подпункта «а» пункта 2 части 4 статьи 14, статьей 6, пункта 5 части 1 статьи 43 Федерального закона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3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9"/>
        </w:rPr>
        <w:t>Выдать Заказчику, Оператору электронной площадки обязательное для исполнения предписание.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3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9"/>
        </w:rPr>
        <w:t>Передать в установленном порядке материалы должностному лицу Управления Федеральной антимонопольной службы по Республике Татарстан для рассмотрения вопроса о необходимости возбуждения административного производства в отношении лиц, допустивших нарушение норм законодательства о контрактной системе.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700"/>
        <w:jc w:val="both"/>
      </w:pPr>
      <w:r>
        <w:rPr>
          <w:rStyle w:val="CharStyle9"/>
        </w:rPr>
        <w:t>Решение Комиссии может быть обжаловано в судебном порядке в течение трех месяцев со дня его принятия.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80" w:line="240" w:lineRule="auto"/>
        <w:ind w:left="0" w:right="0" w:firstLine="0"/>
        <w:jc w:val="both"/>
      </w:pPr>
      <w:r>
        <w:rPr>
          <w:rStyle w:val="CharStyle9"/>
        </w:rPr>
        <w:t>Зам. Председателя Комиссии: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80" w:line="240" w:lineRule="auto"/>
        <w:ind w:left="0" w:right="0" w:firstLine="0"/>
        <w:jc w:val="both"/>
      </w:pPr>
      <w:r>
        <w:rPr>
          <w:rStyle w:val="CharStyle9"/>
        </w:rPr>
        <w:t>Члены Комиссии: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440" w:line="240" w:lineRule="auto"/>
        <w:ind w:left="0" w:right="0" w:firstLine="0"/>
        <w:jc w:val="right"/>
      </w:pPr>
      <w:r>
        <w:rPr>
          <w:rStyle w:val="CharStyle9"/>
        </w:rPr>
        <w:t>Е.С. Николашина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2"/>
        </w:rPr>
        <w:t>Исп.: Николашина Екатерина Сергеевна Тел.: 8 (499)755-23-23 (доб. 016-406).</w:t>
      </w:r>
    </w:p>
    <w:sectPr>
      <w:footnotePr>
        <w:pos w:val="pageBottom"/>
        <w:numFmt w:val="decimal"/>
        <w:numRestart w:val="continuous"/>
      </w:footnotePr>
      <w:pgSz w:w="11900" w:h="16840"/>
      <w:pgMar w:top="1090" w:right="635" w:bottom="1090" w:left="1013" w:header="0" w:footer="662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732790</wp:posOffset>
              </wp:positionH>
              <wp:positionV relativeFrom="page">
                <wp:posOffset>10179050</wp:posOffset>
              </wp:positionV>
              <wp:extent cx="567055" cy="11874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705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Style w:val="CharStyle17"/>
                              <w:sz w:val="26"/>
                              <w:szCs w:val="26"/>
                            </w:rPr>
                            <w:t>248864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700000000000003pt;margin-top:801.5pt;width:44.649999999999999pt;height:9.3499999999999996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rStyle w:val="CharStyle17"/>
                        <w:sz w:val="26"/>
                        <w:szCs w:val="26"/>
                      </w:rPr>
                      <w:t>248864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3869690</wp:posOffset>
              </wp:positionH>
              <wp:positionV relativeFrom="page">
                <wp:posOffset>453390</wp:posOffset>
              </wp:positionV>
              <wp:extent cx="67310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7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4.69999999999999pt;margin-top:35.700000000000003pt;width:5.29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7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3861435</wp:posOffset>
              </wp:positionH>
              <wp:positionV relativeFrom="page">
                <wp:posOffset>363220</wp:posOffset>
              </wp:positionV>
              <wp:extent cx="57785" cy="10668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7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4.05000000000001pt;margin-top:28.600000000000001pt;width:4.5499999999999998pt;height:8.40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7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4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2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2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7992CC"/>
      <w:u w:val="none"/>
    </w:rPr>
  </w:style>
  <w:style w:type="character" w:customStyle="1" w:styleId="CharStyle5">
    <w:name w:val="Body text (3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B6A95"/>
      <w:sz w:val="15"/>
      <w:szCs w:val="15"/>
      <w:u w:val="none"/>
    </w:rPr>
  </w:style>
  <w:style w:type="character" w:customStyle="1" w:styleId="CharStyle9">
    <w:name w:val="Body text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3">
    <w:name w:val="Table caption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Other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7">
    <w:name w:val="Header or footer (2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2">
    <w:name w:val="Body text (4)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Body text (2)"/>
    <w:basedOn w:val="Normal"/>
    <w:link w:val="CharStyle3"/>
    <w:pPr>
      <w:widowControl w:val="0"/>
      <w:shd w:val="clear" w:color="auto" w:fill="auto"/>
      <w:spacing w:after="13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7992CC"/>
      <w:u w:val="none"/>
    </w:rPr>
  </w:style>
  <w:style w:type="paragraph" w:customStyle="1" w:styleId="Style4">
    <w:name w:val="Body text (3)"/>
    <w:basedOn w:val="Normal"/>
    <w:link w:val="CharStyle5"/>
    <w:pPr>
      <w:widowControl w:val="0"/>
      <w:shd w:val="clear" w:color="auto" w:fill="auto"/>
      <w:spacing w:after="210" w:line="283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B6A95"/>
      <w:sz w:val="15"/>
      <w:szCs w:val="15"/>
      <w:u w:val="none"/>
    </w:rPr>
  </w:style>
  <w:style w:type="paragraph" w:styleId="Style8">
    <w:name w:val="Body text"/>
    <w:basedOn w:val="Normal"/>
    <w:link w:val="CharStyle9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2">
    <w:name w:val="Table caption"/>
    <w:basedOn w:val="Normal"/>
    <w:link w:val="CharStyle13"/>
    <w:pPr>
      <w:widowControl w:val="0"/>
      <w:shd w:val="clear" w:color="auto" w:fill="auto"/>
      <w:ind w:firstLine="7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Other"/>
    <w:basedOn w:val="Normal"/>
    <w:link w:val="CharStyle15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6">
    <w:name w:val="Header or footer (2)"/>
    <w:basedOn w:val="Normal"/>
    <w:link w:val="CharStyle1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1">
    <w:name w:val="Body text (4)"/>
    <w:basedOn w:val="Normal"/>
    <w:link w:val="CharStyle22"/>
    <w:pPr>
      <w:widowControl w:val="0"/>
      <w:shd w:val="clear" w:color="auto" w:fill="auto"/>
      <w:spacing w:after="3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/Relationships>
</file>