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center"/>
        <w:rPr>
          <w:sz w:val="134"/>
          <w:szCs w:val="134"/>
        </w:rPr>
      </w:pPr>
      <w:r>
        <w:rPr>
          <w:rStyle w:val="CharStyle3"/>
          <w:color w:val="476197"/>
          <w:sz w:val="134"/>
          <w:szCs w:val="134"/>
          <w:lang w:val="en-US" w:eastAsia="en-US"/>
        </w:rPr>
        <w:t>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3"/>
          <w:b/>
          <w:bCs/>
          <w:color w:val="476197"/>
          <w:sz w:val="17"/>
          <w:szCs w:val="17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54" w:lineRule="auto"/>
        <w:ind w:left="0" w:right="0" w:firstLine="0"/>
        <w:jc w:val="center"/>
        <w:rPr>
          <w:sz w:val="19"/>
          <w:szCs w:val="19"/>
        </w:rPr>
      </w:pPr>
      <w:r>
        <w:rPr>
          <w:rStyle w:val="CharStyle3"/>
          <w:b/>
          <w:bCs/>
          <w:color w:val="476197"/>
          <w:sz w:val="19"/>
          <w:szCs w:val="19"/>
        </w:rPr>
        <w:t>Федеральной антимонопольной службы</w:t>
        <w:br/>
        <w:t>по Амурской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ул. Амурская, 150, г. Благовещенск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Амурская область, 675000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</w:rPr>
        <w:t>тел. (4162) 52-00-07. факс (4162) 52-00-35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6"/>
          <w:szCs w:val="16"/>
        </w:rPr>
      </w:pPr>
      <w:r>
        <w:rPr>
          <w:rStyle w:val="CharStyle3"/>
          <w:color w:val="476197"/>
          <w:sz w:val="16"/>
          <w:szCs w:val="16"/>
          <w:lang w:val="en-US" w:eastAsia="en-US"/>
        </w:rPr>
        <w:t xml:space="preserve">e-mail: </w:t>
      </w:r>
      <w:r>
        <w:fldChar w:fldCharType="begin"/>
      </w:r>
      <w:r>
        <w:rPr/>
        <w:instrText> HYPERLINK "mailto:to28@fas.gov.ru" </w:instrText>
      </w:r>
      <w:r>
        <w:fldChar w:fldCharType="separate"/>
      </w:r>
      <w:r>
        <w:rPr>
          <w:rStyle w:val="CharStyle3"/>
          <w:color w:val="476197"/>
          <w:sz w:val="16"/>
          <w:szCs w:val="16"/>
          <w:lang w:val="en-US" w:eastAsia="en-US"/>
        </w:rPr>
        <w:t>to28@fas.gov.ru</w:t>
      </w:r>
      <w:r>
        <w:fldChar w:fldCharType="end"/>
      </w:r>
    </w:p>
    <w:p>
      <w:pPr>
        <w:pStyle w:val="Style11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rStyle w:val="CharStyle12"/>
          <w:u w:val="non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2"/>
          <w:u w:val="none"/>
        </w:rPr>
        <w:t>4.0</w:t>
      </w:r>
      <w:r>
        <w:rPr>
          <w:rStyle w:val="CharStyle12"/>
        </w:rPr>
        <w:t>5.2026</w:t>
      </w:r>
      <w:r>
        <w:rPr>
          <w:rStyle w:val="CharStyle12"/>
          <w:u w:val="none"/>
        </w:rPr>
        <w:tab/>
      </w:r>
      <w:r>
        <w:fldChar w:fldCharType="end"/>
      </w:r>
      <w:r>
        <w:rPr>
          <w:rStyle w:val="CharStyle12"/>
          <w:u w:val="none"/>
        </w:rPr>
        <w:t xml:space="preserve">№ </w:t>
      </w:r>
      <w:r>
        <w:rPr>
          <w:rStyle w:val="CharStyle12"/>
        </w:rPr>
        <w:t>МП/1757/2</w:t>
      </w:r>
      <w:r>
        <w:rPr>
          <w:rStyle w:val="CharStyle12"/>
          <w:u w:val="none"/>
        </w:rPr>
        <w:t>6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71" w:lineRule="auto"/>
        <w:ind w:left="0" w:right="0" w:firstLine="0"/>
        <w:jc w:val="center"/>
        <w:rPr>
          <w:sz w:val="18"/>
          <w:szCs w:val="18"/>
        </w:rPr>
      </w:pPr>
      <w:r>
        <w:rPr>
          <w:rStyle w:val="CharStyle3"/>
          <w:color w:val="476197"/>
          <w:sz w:val="18"/>
          <w:szCs w:val="18"/>
        </w:rPr>
        <w:t xml:space="preserve">На №  от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6"/>
          <w:sz w:val="24"/>
          <w:szCs w:val="24"/>
        </w:rPr>
        <w:t>Решение по делу № 028/06/105 384/2026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Государственное казенное учреждение Амурской области «Центр обеспечения гражданской защиты и пожарной безопасности Амурской области» 675004, Амурская область, 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>Благовещенск, д.160.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"mailto:mto.68@mail.ru" </w:instrText>
      </w:r>
      <w:r>
        <w:fldChar w:fldCharType="separate"/>
      </w:r>
      <w:r>
        <w:rPr>
          <w:rStyle w:val="CharStyle16"/>
          <w:lang w:val="en-US" w:eastAsia="en-US"/>
        </w:rPr>
        <w:t>mto.68@mail.ru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</w:rPr>
        <w:t xml:space="preserve">Общество с ограниченной ответственностью «Альянссервис» 660077, Красноярский край, г. Красноярск, ул. Авиаторов, 5/305, оф. 1 </w:t>
      </w:r>
      <w:r>
        <w:fldChar w:fldCharType="begin"/>
      </w:r>
      <w:r>
        <w:rPr/>
        <w:instrText> HYPERLINK "mailto:varyag-trucks@yandex.ru" </w:instrText>
      </w:r>
      <w:r>
        <w:fldChar w:fldCharType="separate"/>
      </w:r>
      <w:r>
        <w:rPr>
          <w:rStyle w:val="CharStyle16"/>
          <w:lang w:val="en-US" w:eastAsia="en-US"/>
        </w:rPr>
        <w:t>varyag-trucks@yandex.ru</w:t>
      </w:r>
      <w:r>
        <w:fldChar w:fldCharType="end"/>
      </w:r>
      <w:r>
        <w:rPr>
          <w:rStyle w:val="CharStyle16"/>
          <w:lang w:val="en-US" w:eastAsia="en-US"/>
        </w:rPr>
        <w:t>;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fldChar w:fldCharType="begin"/>
      </w:r>
      <w:r>
        <w:rPr/>
        <w:instrText> HYPERLINK "mailto:lapatkova.as@gkalianss.ru" </w:instrText>
      </w:r>
      <w:r>
        <w:fldChar w:fldCharType="separate"/>
      </w:r>
      <w:r>
        <w:rPr>
          <w:rStyle w:val="CharStyle16"/>
          <w:lang w:val="en-US" w:eastAsia="en-US"/>
        </w:rPr>
        <w:t>lapatkova.as@gkalianss.ru</w:t>
      </w:r>
      <w:r>
        <w:fldChar w:fldCharType="end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58" w:right="699" w:bottom="1216" w:left="1135" w:header="0" w:footer="3" w:gutter="0"/>
          <w:pgNumType w:start="1"/>
          <w:cols w:num="2" w:space="720" w:equalWidth="0">
            <w:col w:w="4282" w:space="989"/>
            <w:col w:w="4795"/>
          </w:cols>
          <w:noEndnote/>
          <w:rtlGutter w:val="0"/>
          <w:docGrid w:linePitch="360"/>
        </w:sectPr>
      </w:pPr>
      <w:r>
        <w:rPr>
          <w:rStyle w:val="CharStyle16"/>
        </w:rPr>
        <w:t xml:space="preserve">Управление государственного заказа Амурской области </w:t>
      </w:r>
      <w:r>
        <w:fldChar w:fldCharType="begin"/>
      </w:r>
      <w:r>
        <w:rPr/>
        <w:instrText> HYPERLINK "mailto:azk@gz.amurobl.ru" </w:instrText>
      </w:r>
      <w:r>
        <w:fldChar w:fldCharType="separate"/>
      </w:r>
      <w:r>
        <w:rPr>
          <w:rStyle w:val="CharStyle16"/>
          <w:lang w:val="en-US" w:eastAsia="en-US"/>
        </w:rPr>
        <w:t>azk@gz.amurobl.ru</w:t>
      </w:r>
      <w:r>
        <w:fldChar w:fldCharType="end"/>
      </w:r>
    </w:p>
    <w:p>
      <w:pPr>
        <w:widowControl w:val="0"/>
        <w:spacing w:line="79" w:lineRule="exact"/>
        <w:rPr>
          <w:sz w:val="6"/>
          <w:szCs w:val="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РЕШЕНИЕ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</w:rPr>
        <w:t>по делу № 028/06/105-384/2026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6027420</wp:posOffset>
                </wp:positionH>
                <wp:positionV relativeFrom="paragraph">
                  <wp:posOffset>12700</wp:posOffset>
                </wp:positionV>
                <wp:extent cx="1149350" cy="23495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4935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г. Благовещенск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74.60000000000002pt;margin-top:1.pt;width:90.5pt;height:18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г. Благовещенск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6"/>
        </w:rPr>
        <w:t>08.05.2026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6"/>
        </w:rPr>
        <w:t>(в полном объеме изготовлено 14.05.2026)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управления Федеральной антимонопольной службы по Амурской области (далее – Амурское УФАС России) по контролю в сфере закупок в составе: Парнищевой М.М. – председателя Комиссии, руководителя управления; Левченко И.И. – ведущего специалиста-эксперта отдела контроля закупок; Ивановой Г.С. – главного специалиста-эксперта отдела контроля закупок; Барсуковой И.В. – ведущего специалиста- эксперта отдела контроля закупок; Москвиной М.А. – ведущего специалиста-эксперта отдела контроля закупок,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присутствии представителей от государственного заказчика, уполномоченного органа и общества с ограниченной ответственностью «Альянссервис» (далее – ООО «Альянссервис»)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(лицам, присутствующим на заседании комиссии, разъяснены права, порядок рассмотрения дела, сообщено о ведении аудио- и видеозаписи заседания Комиссии Амурского УФАС России),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>рассмотрела поступившую в Амурское УФАС России жалобу от ООО «Альянссервис» на действия государственного заказчика – государственного казенного учреждения Амурской области «Центр обеспечения гражданской защиты и пожарной безопасности Амурской области» (далее — ГКУ АО «Амурский Центр ГЗ и ПБ») при осуществлении электронного аукциона на поставку снегоболотохода с органами управления автомобильного типа, объявленного извещением от 23.04.2026 № 0123200000326000704 на электронной площадке АО «Сбербанк-АСТ»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8" w:right="541" w:bottom="1216" w:left="1101" w:header="0" w:footer="3" w:gutter="0"/>
          <w:cols w:space="720"/>
          <w:noEndnote/>
          <w:rtlGutter w:val="0"/>
          <w:docGrid w:linePitch="360"/>
        </w:sectPr>
      </w:pPr>
      <w:bookmarkStart w:id="2" w:name="bookmark2"/>
      <w:r>
        <w:rPr>
          <w:rStyle w:val="CharStyle19"/>
        </w:rPr>
        <w:t>IIIIIIIIIIIIIIIIIIIIIIII</w:t>
      </w:r>
      <w:bookmarkEnd w:id="2"/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fldChar w:fldCharType="begin"/>
      </w:r>
      <w:r>
        <w:rPr/>
        <w:instrText> HYPERLINK "http://www.sberbank-ast.ru" </w:instrText>
      </w:r>
      <w:r>
        <w:fldChar w:fldCharType="separate"/>
      </w:r>
      <w:r>
        <w:rPr>
          <w:rStyle w:val="CharStyle16"/>
          <w:lang w:val="en-US" w:eastAsia="en-US"/>
        </w:rPr>
        <w:t>http://www.sberbank-ast.ru</w:t>
      </w:r>
      <w:r>
        <w:fldChar w:fldCharType="end"/>
      </w:r>
      <w:r>
        <w:rPr>
          <w:rStyle w:val="CharStyle16"/>
          <w:lang w:val="en-US" w:eastAsia="en-US"/>
        </w:rPr>
        <w:t xml:space="preserve">, </w:t>
      </w:r>
      <w:r>
        <w:rPr>
          <w:rStyle w:val="CharStyle16"/>
        </w:rPr>
        <w:t xml:space="preserve">выразившиеся, по мнению заявителя, в нарушении положений Федерального закона от </w:t>
      </w:r>
      <w:r>
        <w:rPr>
          <w:rStyle w:val="CharStyle16"/>
          <w:lang w:val="en-US" w:eastAsia="en-US"/>
        </w:rPr>
        <w:t xml:space="preserve">05.04.2013 № </w:t>
      </w:r>
      <w:r>
        <w:rPr>
          <w:rStyle w:val="CharStyle16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Закон о контрактной системе, Федеральный закон).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Из жалобы заявителя следует, что документы электронного аукциона не соответствуют требованиям законодательства.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Представители заказчика и уполномоченного органа с доводами, заявленными в жалобе, не согласились. Представили письменные возражения, которые приобщены к материалам дела. Просят признать жалобу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rStyle w:val="CharStyle16"/>
        </w:rPr>
        <w:t xml:space="preserve">Комиссия Амурского УФАС России, рассмотрев жалобу, исследовав материалы дела, проведя в соответствии с частями </w:t>
      </w:r>
      <w:r>
        <w:rPr>
          <w:rStyle w:val="CharStyle16"/>
          <w:lang w:val="en-US" w:eastAsia="en-US"/>
        </w:rPr>
        <w:t xml:space="preserve">3, 15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 </w:t>
      </w:r>
      <w:r>
        <w:rPr>
          <w:rStyle w:val="CharStyle16"/>
        </w:rPr>
        <w:t>Закона о контрактной системе внеплановую проверку,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16"/>
        </w:rPr>
        <w:t>УСТАНОВИЛА: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  <w:lang w:val="en-US" w:eastAsia="en-US"/>
        </w:rPr>
        <w:t xml:space="preserve">23.04.2026 </w:t>
      </w:r>
      <w:r>
        <w:rPr>
          <w:rStyle w:val="CharStyle16"/>
        </w:rPr>
        <w:t xml:space="preserve">уполномоченным органом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управлением государственного заказа Амурской области по заявке государственного заказчика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ГКУ АО «Амурский Центр ГЗ и ПБ» на электронной площадке АО «Сбербанк-АСТ» </w:t>
      </w:r>
      <w:r>
        <w:fldChar w:fldCharType="begin"/>
      </w:r>
      <w:r>
        <w:rPr/>
        <w:instrText> HYPERLINK "http://www.sberbank-ast.ru" </w:instrText>
      </w:r>
      <w:r>
        <w:fldChar w:fldCharType="separate"/>
      </w:r>
      <w:r>
        <w:rPr>
          <w:rStyle w:val="CharStyle16"/>
          <w:lang w:val="en-US" w:eastAsia="en-US"/>
        </w:rPr>
        <w:t>http://www.sberbank-ast.ru</w:t>
      </w:r>
      <w:r>
        <w:fldChar w:fldCharType="end"/>
      </w:r>
      <w:r>
        <w:rPr>
          <w:rStyle w:val="CharStyle16"/>
          <w:lang w:val="en-US" w:eastAsia="en-US"/>
        </w:rPr>
        <w:t xml:space="preserve"> </w:t>
      </w:r>
      <w:r>
        <w:rPr>
          <w:rStyle w:val="CharStyle16"/>
        </w:rPr>
        <w:t xml:space="preserve">опубликовано извещение </w:t>
      </w:r>
      <w:r>
        <w:rPr>
          <w:rStyle w:val="CharStyle16"/>
          <w:lang w:val="en-US" w:eastAsia="en-US"/>
        </w:rPr>
        <w:t xml:space="preserve">№ 0123200000326000704 </w:t>
      </w:r>
      <w:r>
        <w:rPr>
          <w:rStyle w:val="CharStyle16"/>
        </w:rPr>
        <w:t>на поставку снегоболотохода с органами управления автомобильного типа.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Соответствующая информация размещена на официальном сайте Единой информационной системы в сфере закупок </w:t>
      </w:r>
      <w:r>
        <w:fldChar w:fldCharType="begin"/>
      </w:r>
      <w:r>
        <w:rPr/>
        <w:instrText> HYPERLINK "http://www.zakupki.gov.ru" </w:instrText>
      </w:r>
      <w:r>
        <w:fldChar w:fldCharType="separate"/>
      </w:r>
      <w:r>
        <w:rPr>
          <w:rStyle w:val="CharStyle16"/>
          <w:lang w:val="en-US" w:eastAsia="en-US"/>
        </w:rPr>
        <w:t>www.zakupki.gov.ru</w:t>
      </w:r>
      <w:r>
        <w:fldChar w:fldCharType="end"/>
      </w:r>
      <w:r>
        <w:rPr>
          <w:rStyle w:val="CharStyle16"/>
          <w:lang w:val="en-US" w:eastAsia="en-US"/>
        </w:rPr>
        <w:t>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Начальная (максимальная) цена контракта установлена в размере </w:t>
      </w:r>
      <w:r>
        <w:rPr>
          <w:rStyle w:val="CharStyle16"/>
          <w:lang w:val="en-US" w:eastAsia="en-US"/>
        </w:rPr>
        <w:t xml:space="preserve">9 284 500,00 </w:t>
      </w:r>
      <w:r>
        <w:rPr>
          <w:rStyle w:val="CharStyle16"/>
        </w:rPr>
        <w:t>рублей.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Дата и время окончания срока подачи заявок </w:t>
      </w:r>
      <w:r>
        <w:rPr>
          <w:rStyle w:val="CharStyle16"/>
          <w:lang w:val="en-US" w:eastAsia="en-US"/>
        </w:rPr>
        <w:t xml:space="preserve">– 05.05.2026, </w:t>
      </w:r>
      <w:r>
        <w:rPr>
          <w:rStyle w:val="CharStyle16"/>
        </w:rPr>
        <w:t xml:space="preserve">дата проведения процедуры подачи предложений о цене контракта либо о сумме цен единиц товара, работы, услуги </w:t>
      </w:r>
      <w:r>
        <w:rPr>
          <w:rStyle w:val="CharStyle16"/>
          <w:lang w:val="en-US" w:eastAsia="en-US"/>
        </w:rPr>
        <w:t xml:space="preserve">– 05.05.2026, </w:t>
      </w:r>
      <w:r>
        <w:rPr>
          <w:rStyle w:val="CharStyle16"/>
        </w:rPr>
        <w:t xml:space="preserve">дата подведения итогов определения поставщика (подрядчика, исполнителя) </w:t>
      </w:r>
      <w:r>
        <w:rPr>
          <w:rStyle w:val="CharStyle16"/>
          <w:lang w:val="en-US" w:eastAsia="en-US"/>
        </w:rPr>
        <w:t>– 07.05.2026.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пункта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42 </w:t>
      </w:r>
      <w:r>
        <w:rPr>
          <w:rStyle w:val="CharStyle16"/>
        </w:rPr>
        <w:t xml:space="preserve">Закона о контрактной системе извещение об осуществлении закупки, если иное не предусмотрено настоящим Федеральным законом, должно содержать в том числе следующие электронные документы: описание объекта закупки в соответствии со статьей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системе;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720"/>
        <w:jc w:val="both"/>
        <w:rPr>
          <w:sz w:val="24"/>
          <w:szCs w:val="24"/>
        </w:rPr>
        <w:sectPr>
          <w:headerReference w:type="default" r:id="rId6"/>
          <w:foot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666" w:right="541" w:bottom="816" w:left="1106" w:header="0" w:footer="388" w:gutter="0"/>
          <w:cols w:space="720"/>
          <w:noEndnote/>
          <w:rtlGutter w:val="0"/>
          <w:docGrid w:linePitch="360"/>
        </w:sectPr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о контрактной системе Заказчик при описании в документации о закупке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</w:t>
      </w:r>
      <w:r>
        <w:rPr>
          <w:rStyle w:val="CharStyle16"/>
          <w:sz w:val="24"/>
          <w:szCs w:val="24"/>
          <w:lang w:val="en-US" w:eastAsia="en-US"/>
        </w:rPr>
        <w:t>2026-1994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соответствии с пунктом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 xml:space="preserve">Закона о контрактной системе предусмотрено, что описание объекта закупки в соответствии с требованиями, указанными в части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постановлению Президиума Высшего Арбитражного Суда Российской Федерации от </w:t>
      </w:r>
      <w:r>
        <w:rPr>
          <w:rStyle w:val="CharStyle16"/>
          <w:lang w:val="en-US" w:eastAsia="en-US"/>
        </w:rPr>
        <w:t xml:space="preserve">28.12.2010 № 11017/10 </w:t>
      </w:r>
      <w:r>
        <w:rPr>
          <w:rStyle w:val="CharStyle16"/>
        </w:rPr>
        <w:t xml:space="preserve">по делу </w:t>
      </w:r>
      <w:r>
        <w:rPr>
          <w:rStyle w:val="CharStyle16"/>
          <w:lang w:val="en-US" w:eastAsia="en-US"/>
        </w:rPr>
        <w:t xml:space="preserve">№ </w:t>
      </w:r>
      <w:r>
        <w:rPr>
          <w:rStyle w:val="CharStyle16"/>
        </w:rPr>
        <w:t>А06-6611/2009 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размещения заказов,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размещения заказов. При этом заказчик вправе в необходимой степени детализировать объект закупки. Включение в документацию о торгах условий, которые в итоге приводят к исключению из круга участников размещения заказа лиц, не отвечающих таким целям, не может рассматриваться как ограничение доступа к участию в торгах.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Законодательство о контрактной системе допускает самостоятельное формирование заказчиком своей закупки, исходя из потребностей последнего. При описании товара заказчик вправе указывать характеристики товара, требования к объекту закупок, которые являются определяющими для него, он не лишен возможности более точно и четко указывать требования к закупаемому товару. Указанный вывод подтверждается и позицией Верховного суда Российской Федерации, изложенной в пункте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>«Обзора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нужд» (утв. Президиумом Верховного Суда Российской Федерации </w:t>
      </w:r>
      <w:r>
        <w:rPr>
          <w:rStyle w:val="CharStyle16"/>
          <w:lang w:val="en-US" w:eastAsia="en-US"/>
        </w:rPr>
        <w:t xml:space="preserve">28.06.2017), </w:t>
      </w:r>
      <w:r>
        <w:rPr>
          <w:rStyle w:val="CharStyle16"/>
        </w:rPr>
        <w:t>в соответствии с которым указание заказчиком в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Таким образом, Заказчик при формировании технического задания вправе в необходимой степени детализировать объект закупки, определяя характеристики закупаемого товара, которые будут иметь существенное значение для последующего использования товара в специфике его деятельности и в целях обеспечения эффективного использования бюджетных средств.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силу части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 особенности описания отдельных видов объектов закупок могут устанавливаться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 основании пункта </w:t>
      </w:r>
      <w:r>
        <w:rPr>
          <w:rStyle w:val="CharStyle16"/>
          <w:lang w:val="en-US" w:eastAsia="en-US"/>
        </w:rPr>
        <w:t xml:space="preserve">14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КТРУ).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Частью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23 </w:t>
      </w:r>
      <w:r>
        <w:rPr>
          <w:rStyle w:val="CharStyle16"/>
        </w:rPr>
        <w:t>Закона о контрактной системе установлено, что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08.02.2017 № 145 </w:t>
      </w:r>
      <w:r>
        <w:rPr>
          <w:rStyle w:val="CharStyle16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>Правила использования КТРУ).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подпункту «б» пункта </w:t>
      </w:r>
      <w:r>
        <w:rPr>
          <w:rStyle w:val="CharStyle16"/>
          <w:lang w:val="en-US" w:eastAsia="en-US"/>
        </w:rPr>
        <w:t xml:space="preserve">2 </w:t>
      </w:r>
      <w:r>
        <w:rPr>
          <w:rStyle w:val="CharStyle16"/>
        </w:rPr>
        <w:t>Правил использования КТРУ каталог используется заказчиками в целях описания объектов закупки, которое включается в планграфик закупок, извещение об осуществлении закупки, приглашение и документацию о закупке.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Из пункта </w:t>
      </w:r>
      <w:r>
        <w:rPr>
          <w:rStyle w:val="CharStyle16"/>
          <w:lang w:val="en-US" w:eastAsia="en-US"/>
        </w:rPr>
        <w:t xml:space="preserve">4 </w:t>
      </w:r>
      <w:r>
        <w:rPr>
          <w:rStyle w:val="CharStyle16"/>
        </w:rPr>
        <w:t xml:space="preserve">Правил использования КТРУ следует, что заказчики обязаны применять информацию, включенную в позицию каталога в соответствии с подпунктами «б»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«г» и «е» </w:t>
      </w:r>
      <w:r>
        <w:rPr>
          <w:rStyle w:val="CharStyle16"/>
          <w:lang w:val="en-US" w:eastAsia="en-US"/>
        </w:rPr>
        <w:t xml:space="preserve">– </w:t>
      </w:r>
      <w:r>
        <w:rPr>
          <w:rStyle w:val="CharStyle16"/>
        </w:rPr>
        <w:t xml:space="preserve">«з» пункта </w:t>
      </w:r>
      <w:r>
        <w:rPr>
          <w:rStyle w:val="CharStyle16"/>
          <w:lang w:val="en-US" w:eastAsia="en-US"/>
        </w:rPr>
        <w:t xml:space="preserve">10 </w:t>
      </w:r>
      <w:r>
        <w:rPr>
          <w:rStyle w:val="CharStyle16"/>
        </w:rPr>
        <w:t xml:space="preserve">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февраля </w:t>
      </w:r>
      <w:r>
        <w:rPr>
          <w:rStyle w:val="CharStyle16"/>
          <w:lang w:val="en-US" w:eastAsia="en-US"/>
        </w:rPr>
        <w:t xml:space="preserve">2017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№ 145 </w:t>
      </w:r>
      <w:r>
        <w:rPr>
          <w:rStyle w:val="CharStyle16"/>
        </w:rPr>
        <w:t>«Об утверждении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и Правил использования каталога товаров, работ, услуг для обеспечения государственных и муниципальных нужд»,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5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наименование товара, работы, услуги;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5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описание товара, работы, услуги (при наличии такого описания в позиции).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На основании вышеизложенного, Комиссия Амурского УФАС России отмечает, что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при формировании извещения Заказчик, руководствуясь приведенными нормами, обязан установить код позиции КТРУ, соответствующий закупаемому товару.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Согласно пункту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Правил использования КТРУ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Федерального закона, которые не предусмотрены в позиции каталога, за исключением случаев: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осуществления закупки радиоэлектронной продукции, включенной в пункты </w:t>
      </w:r>
      <w:r>
        <w:rPr>
          <w:rStyle w:val="CharStyle16"/>
          <w:lang w:val="en-US" w:eastAsia="en-US"/>
        </w:rPr>
        <w:t xml:space="preserve">22 27 </w:t>
      </w:r>
      <w:r>
        <w:rPr>
          <w:rStyle w:val="CharStyle16"/>
        </w:rPr>
        <w:t xml:space="preserve">и </w:t>
      </w:r>
      <w:r>
        <w:rPr>
          <w:rStyle w:val="CharStyle16"/>
          <w:lang w:val="en-US" w:eastAsia="en-US"/>
        </w:rPr>
        <w:t xml:space="preserve">29 </w:t>
      </w:r>
      <w:r>
        <w:rPr>
          <w:rStyle w:val="CharStyle16"/>
        </w:rPr>
        <w:t xml:space="preserve">перечня промышленных товаров, происходящих из иностранных государств (за исключением государств </w:t>
      </w:r>
      <w:r>
        <w:rPr>
          <w:rStyle w:val="CharStyle16"/>
          <w:lang w:val="en-US" w:eastAsia="en-US"/>
        </w:rPr>
        <w:t xml:space="preserve">- </w:t>
      </w:r>
      <w:r>
        <w:rPr>
          <w:rStyle w:val="CharStyle16"/>
        </w:rPr>
        <w:t xml:space="preserve">членов Евразийского экономического союза), в отношении которых устанавливается запрет на допуск для целей осуществления закупок для государственных и муниципальных нужд, предусмотренного приложением к постановлению Правительства Российской Федерации от </w:t>
      </w:r>
      <w:r>
        <w:rPr>
          <w:rStyle w:val="CharStyle16"/>
          <w:lang w:val="en-US" w:eastAsia="en-US"/>
        </w:rPr>
        <w:t xml:space="preserve">30 </w:t>
      </w:r>
      <w:r>
        <w:rPr>
          <w:rStyle w:val="CharStyle16"/>
        </w:rPr>
        <w:t xml:space="preserve">апреля </w:t>
      </w:r>
      <w:r>
        <w:rPr>
          <w:rStyle w:val="CharStyle16"/>
          <w:lang w:val="en-US" w:eastAsia="en-US"/>
        </w:rPr>
        <w:t xml:space="preserve">2020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N 616 </w:t>
      </w:r>
      <w:r>
        <w:rPr>
          <w:rStyle w:val="CharStyle16"/>
        </w:rPr>
        <w:t xml:space="preserve">"Об установлении запрета на допуск промышленных товаров, происходящих из иностранных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(услуг), выполняемых (оказываемых) иностранными лицами, для целей осуществления закупок для нужд обороны страны и безопасности государства", при условии установления в соответствии с указанным постановлением запрета на допуск радиоэлектронной продукции, происходящей из иностранных государств, а также осуществления закупки радиоэлектронной продукции, включенной в перечень радиоэлектронной продукции, происходящей из иностранных государств, в отношении которой устанавливаются ограничения для целей осуществления закупок для обеспечения государственных и муниципальных нужд, утвержденный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10 </w:t>
      </w:r>
      <w:r>
        <w:rPr>
          <w:rStyle w:val="CharStyle16"/>
        </w:rPr>
        <w:t xml:space="preserve">июля </w:t>
      </w:r>
      <w:r>
        <w:rPr>
          <w:rStyle w:val="CharStyle16"/>
          <w:lang w:val="en-US" w:eastAsia="en-US"/>
        </w:rPr>
        <w:t xml:space="preserve">2019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N 878 </w:t>
      </w:r>
      <w:r>
        <w:rPr>
          <w:rStyle w:val="CharStyle16"/>
        </w:rPr>
        <w:t xml:space="preserve">"О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16"/>
          <w:lang w:val="en-US" w:eastAsia="en-US"/>
        </w:rPr>
        <w:t xml:space="preserve">16 </w:t>
      </w:r>
      <w:r>
        <w:rPr>
          <w:rStyle w:val="CharStyle16"/>
        </w:rPr>
        <w:t xml:space="preserve">сентября </w:t>
      </w:r>
      <w:r>
        <w:rPr>
          <w:rStyle w:val="CharStyle16"/>
          <w:lang w:val="en-US" w:eastAsia="en-US"/>
        </w:rPr>
        <w:t xml:space="preserve">2016 </w:t>
      </w:r>
      <w:r>
        <w:rPr>
          <w:rStyle w:val="CharStyle16"/>
        </w:rPr>
        <w:t xml:space="preserve">г. </w:t>
      </w:r>
      <w:r>
        <w:rPr>
          <w:rStyle w:val="CharStyle16"/>
          <w:lang w:val="en-US" w:eastAsia="en-US"/>
        </w:rPr>
        <w:t xml:space="preserve">N 925 </w:t>
      </w:r>
      <w:r>
        <w:rPr>
          <w:rStyle w:val="CharStyle16"/>
        </w:rPr>
        <w:t>и признании утратившими силу некоторых актов Правительства Российской Федерации", при условии установления в соответствии с указанным постановлением ограничения на допуск радиоэлектронной продукции, происходящей из иностранных государств;</w:t>
      </w:r>
    </w:p>
    <w:p>
      <w:pPr>
        <w:pStyle w:val="Style1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частью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Федерального закона.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В пункте </w:t>
      </w:r>
      <w:r>
        <w:rPr>
          <w:rStyle w:val="CharStyle16"/>
          <w:lang w:val="en-US" w:eastAsia="en-US"/>
        </w:rPr>
        <w:t xml:space="preserve">6 </w:t>
      </w:r>
      <w:r>
        <w:rPr>
          <w:rStyle w:val="CharStyle16"/>
        </w:rPr>
        <w:t xml:space="preserve">Правил использования КТРУ установлено, что в случае предоставления дополнительной информации, предусмотренной пунктом </w:t>
      </w:r>
      <w:r>
        <w:rPr>
          <w:rStyle w:val="CharStyle16"/>
          <w:lang w:val="en-US" w:eastAsia="en-US"/>
        </w:rPr>
        <w:t xml:space="preserve">5 </w:t>
      </w:r>
      <w:r>
        <w:rPr>
          <w:rStyle w:val="CharStyle16"/>
        </w:rPr>
        <w:t>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Амурского УФАС России полагает необходимым отметить, что законодательством предусмотрена обязанность заказчиков использовать КТРУ при описании закупаемых товаров, работ, услуг.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В описании объекта закупки заказчиком в отношении объекта закупки определены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 xml:space="preserve">характеристики к объекту закупки предусмотренные позицией КТРУ </w:t>
      </w:r>
      <w:r>
        <w:rPr>
          <w:rStyle w:val="CharStyle16"/>
          <w:lang w:val="en-US" w:eastAsia="en-US"/>
        </w:rPr>
        <w:t xml:space="preserve">№ 29.10.59.330 00000001, </w:t>
      </w:r>
      <w:r>
        <w:rPr>
          <w:rStyle w:val="CharStyle16"/>
        </w:rPr>
        <w:t>а также указано обоснование использования дополнительной информации установления дополнительных требований и потребительских свойств, в том числе функциональных, технических, качественных, эксплуатационных характеристик товара, работы, услуги, не включенных в позицию каталога товаров, работ, услуг для обеспечения государственных и муниципальных нужд.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Таким образом, заказчик установил в описании объекта закупки требования к объекту закупки в соответствии с нормами действующего законодательства.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Из описания объекта закупки следует, что предметом закупки является поставка снегоболотохода с органами управления автомобильного типа.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Предоставленные в материалы дела заказчиком документы подтверждают, что расчет начальной (максимальной) цены договора осуществлен с применением метода сопоставимых рыночных цен (анализа рынка). При проведении мониторинга учитывались данные коммерческих предложений.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Согласно предоставленным заказчиком сведениям описанию объекта соответствует несколько товаров различных производителей: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снегоболотоход Трэкол Югра-ВН, производитель ООО «НПФ ТРЭКОЛ»;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снегоболотоход Профи </w:t>
      </w:r>
      <w:r>
        <w:rPr>
          <w:rStyle w:val="CharStyle16"/>
          <w:lang w:val="en-US" w:eastAsia="en-US"/>
        </w:rPr>
        <w:t xml:space="preserve">2, </w:t>
      </w:r>
      <w:r>
        <w:rPr>
          <w:rStyle w:val="CharStyle16"/>
        </w:rPr>
        <w:t>производитель ООО «Север-Трак»;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снегоболотоход «КРЕЧЕТ </w:t>
      </w:r>
      <w:r>
        <w:rPr>
          <w:rStyle w:val="CharStyle16"/>
          <w:lang w:val="en-US" w:eastAsia="en-US"/>
        </w:rPr>
        <w:t xml:space="preserve">Z210-91», </w:t>
      </w:r>
      <w:r>
        <w:rPr>
          <w:rStyle w:val="CharStyle16"/>
        </w:rPr>
        <w:t>производитель ООО «Техноимпульс»;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снегоболотоход модель </w:t>
      </w:r>
      <w:r>
        <w:rPr>
          <w:rStyle w:val="CharStyle16"/>
          <w:lang w:val="en-US" w:eastAsia="en-US"/>
        </w:rPr>
        <w:t xml:space="preserve">MR-1, </w:t>
      </w:r>
      <w:r>
        <w:rPr>
          <w:rStyle w:val="CharStyle16"/>
        </w:rPr>
        <w:t>производитель ООО «ИЗГТ»;</w:t>
      </w:r>
    </w:p>
    <w:p>
      <w:pPr>
        <w:pStyle w:val="Style1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9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снегоболотоход Варяг, производитель ООО «Альянссервис».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Амурского УФАС России приходит к выводу, что совокупность требований к предмету закупки, перечисленных в описание объекта электронного аукциона, соответствует характеристикам различных торговых производителей.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Следовательно, довод заявителя об установлении в описании объекта закупки требований к товарам, которым соответствует единственный производитель товаров, не подтверждается материалами дела.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Комиссия Амурского УФАС России отмечает, что объектом закупки является поставка товаров, а не его изготовление, поставщиком такого товара может быть любое заинтересованное лицо, в том числе и не производитель соответствующего товара.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На основании вышеизложенного, Комиссия Амурского УФАС России приходит к выводу о соответствии объекта закупки требованиям статьи </w:t>
      </w:r>
      <w:r>
        <w:rPr>
          <w:rStyle w:val="CharStyle16"/>
          <w:lang w:val="en-US" w:eastAsia="en-US"/>
        </w:rPr>
        <w:t xml:space="preserve">33 </w:t>
      </w:r>
      <w:r>
        <w:rPr>
          <w:rStyle w:val="CharStyle16"/>
        </w:rPr>
        <w:t>Закона о контрактной системе.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Следует также отметить, что при рассмотрении заявок комиссия заказчика учитывает те характеристики товара, которые участник указал в заявке (письма Минпромторга России от </w:t>
      </w:r>
      <w:r>
        <w:rPr>
          <w:rStyle w:val="CharStyle16"/>
          <w:lang w:val="en-US" w:eastAsia="en-US"/>
        </w:rPr>
        <w:t xml:space="preserve">09.04.2026 № 37479/12, </w:t>
      </w:r>
      <w:r>
        <w:rPr>
          <w:rStyle w:val="CharStyle16"/>
        </w:rPr>
        <w:t xml:space="preserve">от </w:t>
      </w:r>
      <w:r>
        <w:rPr>
          <w:rStyle w:val="CharStyle16"/>
          <w:lang w:val="en-US" w:eastAsia="en-US"/>
        </w:rPr>
        <w:t xml:space="preserve">15.05.2025 № 53728/12, </w:t>
      </w:r>
      <w:r>
        <w:rPr>
          <w:rStyle w:val="CharStyle16"/>
        </w:rPr>
        <w:t xml:space="preserve">ФАС России от </w:t>
      </w:r>
      <w:r>
        <w:rPr>
          <w:rStyle w:val="CharStyle16"/>
          <w:lang w:val="en-US" w:eastAsia="en-US"/>
        </w:rPr>
        <w:t>03.06.2025 № 28/51603/25).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Реестровая запись должна быть действующей на этапе подачи заявки, заключения контракта и его исполнения. Она подтверждает только страну происхождения предложенного к поставке товара (письмо Минпромторга России от </w:t>
      </w:r>
      <w:r>
        <w:rPr>
          <w:rStyle w:val="CharStyle16"/>
          <w:lang w:val="en-US" w:eastAsia="en-US"/>
        </w:rPr>
        <w:t xml:space="preserve">09.04.2026 № 37479/12 </w:t>
      </w:r>
      <w:r>
        <w:rPr>
          <w:rStyle w:val="CharStyle16"/>
        </w:rPr>
        <w:t>«О предоставлении информации»).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Соответственно, довод заявителя жалобы о том, что потенциальный участник закупки не может подтвердить происхождение товара, поскольку реестр товаров, предусмотренный постановлением Правительства Российской Федерации от </w:t>
      </w:r>
      <w:r>
        <w:rPr>
          <w:rStyle w:val="CharStyle16"/>
          <w:lang w:val="en-US" w:eastAsia="en-US"/>
        </w:rPr>
        <w:t xml:space="preserve">23.12.2024 № 1875, </w:t>
      </w:r>
      <w:r>
        <w:rPr>
          <w:rStyle w:val="CharStyle16"/>
        </w:rPr>
        <w:t>не содержит товара с необходимыми заказчику характеристиками, является несостоятельным.</w:t>
      </w:r>
      <w:r>
        <w:br w:type="page"/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 xml:space="preserve">Рассмотрев жалобу ООО «Альянссервис», руководствуясь пунктом </w:t>
      </w:r>
      <w:r>
        <w:rPr>
          <w:rStyle w:val="CharStyle16"/>
          <w:lang w:val="en-US" w:eastAsia="en-US"/>
        </w:rPr>
        <w:t xml:space="preserve">1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3,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15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99, </w:t>
      </w:r>
      <w:r>
        <w:rPr>
          <w:rStyle w:val="CharStyle16"/>
        </w:rPr>
        <w:t xml:space="preserve">части </w:t>
      </w:r>
      <w:r>
        <w:rPr>
          <w:rStyle w:val="CharStyle16"/>
          <w:lang w:val="en-US" w:eastAsia="en-US"/>
        </w:rPr>
        <w:t xml:space="preserve">8 </w:t>
      </w:r>
      <w:r>
        <w:rPr>
          <w:rStyle w:val="CharStyle16"/>
        </w:rPr>
        <w:t xml:space="preserve">статьи </w:t>
      </w:r>
      <w:r>
        <w:rPr>
          <w:rStyle w:val="CharStyle16"/>
          <w:lang w:val="en-US" w:eastAsia="en-US"/>
        </w:rPr>
        <w:t xml:space="preserve">106 </w:t>
      </w:r>
      <w:r>
        <w:rPr>
          <w:rStyle w:val="CharStyle16"/>
        </w:rPr>
        <w:t>Закона о контрактной системе, Комиссия Амурского УФАС России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6"/>
        </w:rPr>
        <w:t>РЕШИЛА: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20"/>
        <w:jc w:val="both"/>
      </w:pPr>
      <w:r>
        <w:rPr>
          <w:rStyle w:val="CharStyle16"/>
        </w:rPr>
        <w:t>Признать жалобу общества с ограниченной ответственностью «Альянссервис» необоснованной.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6"/>
        </w:rPr>
        <w:t>Решение может быть обжаловано в Арбитражный суд Амурской области в течение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</w:rPr>
        <w:t>трех месяцев со дня его при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05130" distB="948690" distL="0" distR="0" simplePos="0" relativeHeight="125829380" behindDoc="0" locked="0" layoutInCell="1" allowOverlap="1">
                <wp:simplePos x="0" y="0"/>
                <wp:positionH relativeFrom="page">
                  <wp:posOffset>738505</wp:posOffset>
                </wp:positionH>
                <wp:positionV relativeFrom="paragraph">
                  <wp:posOffset>405130</wp:posOffset>
                </wp:positionV>
                <wp:extent cx="1697990" cy="191770"/>
                <wp:wrapTopAndBottom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7990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8.149999999999999pt;margin-top:31.900000000000002pt;width:133.69999999999999pt;height:15.1pt;z-index:-125829373;mso-wrap-distance-left:0;mso-wrap-distance-top:31.900000000000002pt;mso-wrap-distance-right:0;mso-wrap-distance-bottom:74.70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95070" distB="118745" distL="0" distR="0" simplePos="0" relativeHeight="125829382" behindDoc="0" locked="0" layoutInCell="1" allowOverlap="1">
                <wp:simplePos x="0" y="0"/>
                <wp:positionH relativeFrom="page">
                  <wp:posOffset>735330</wp:posOffset>
                </wp:positionH>
                <wp:positionV relativeFrom="paragraph">
                  <wp:posOffset>1195070</wp:posOffset>
                </wp:positionV>
                <wp:extent cx="1249680" cy="23177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968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7.899999999999999pt;margin-top:94.100000000000009pt;width:98.400000000000006pt;height:18.25pt;z-index:-125829371;mso-wrap-distance-left:0;mso-wrap-distance-top:94.100000000000009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1143000" distL="0" distR="1804670" simplePos="0" relativeHeight="125829384" behindDoc="0" locked="0" layoutInCell="1" allowOverlap="1">
            <wp:simplePos x="0" y="0"/>
            <wp:positionH relativeFrom="page">
              <wp:posOffset>2640330</wp:posOffset>
            </wp:positionH>
            <wp:positionV relativeFrom="paragraph">
              <wp:posOffset>0</wp:posOffset>
            </wp:positionV>
            <wp:extent cx="353695" cy="4025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353695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3073400</wp:posOffset>
                </wp:positionH>
                <wp:positionV relativeFrom="paragraph">
                  <wp:posOffset>106680</wp:posOffset>
                </wp:positionV>
                <wp:extent cx="1722120" cy="2590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2.pt;margin-top:8.4000000000000004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23545" distB="1024255" distL="0" distR="0" simplePos="0" relativeHeight="125829385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423545</wp:posOffset>
                </wp:positionV>
                <wp:extent cx="1283335" cy="977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97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rFonts w:ascii="Georgia" w:eastAsia="Georgia" w:hAnsi="Georgia" w:cs="Georgia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5.09999999999999pt;margin-top:33.350000000000001pt;width:101.05pt;height:7.7000000000000002pt;z-index:-125829368;mso-wrap-distance-left:0;mso-wrap-distance-top:33.350000000000001pt;mso-wrap-distance-right:0;mso-wrap-distance-bottom:80.65000000000000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rFonts w:ascii="Georgia" w:eastAsia="Georgia" w:hAnsi="Georgia" w:cs="Georgia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9120" distB="668020" distL="0" distR="0" simplePos="0" relativeHeight="125829387" behindDoc="0" locked="0" layoutInCell="1" allowOverlap="1">
                <wp:simplePos x="0" y="0"/>
                <wp:positionH relativeFrom="page">
                  <wp:posOffset>2664460</wp:posOffset>
                </wp:positionH>
                <wp:positionV relativeFrom="paragraph">
                  <wp:posOffset>579120</wp:posOffset>
                </wp:positionV>
                <wp:extent cx="2066290" cy="29845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6629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4"/>
                                <w:color w:val="000000"/>
                              </w:rPr>
                              <w:t xml:space="preserve">Парнищева Марина Михайловна </w:t>
                            </w:r>
                            <w:r>
                              <w:rPr>
                                <w:rStyle w:val="CharStyle24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4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4"/>
                                <w:lang w:val="en-US" w:eastAsia="en-US"/>
                              </w:rPr>
                              <w:t>5D501</w:t>
                            </w:r>
                            <w:r>
                              <w:rPr>
                                <w:rStyle w:val="CharStyle24"/>
                              </w:rPr>
                              <w:t>3951</w:t>
                            </w:r>
                            <w:r>
                              <w:rPr>
                                <w:rStyle w:val="CharStyle24"/>
                                <w:lang w:val="en-US" w:eastAsia="en-US"/>
                              </w:rPr>
                              <w:t>EF9A8AF8F923889138B1</w:t>
                            </w:r>
                            <w:r>
                              <w:rPr>
                                <w:rStyle w:val="CharStyle24"/>
                              </w:rPr>
                              <w:t>805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>Действителен с 20.01.2026 по 15.04.2027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09.80000000000001pt;margin-top:45.600000000000001pt;width:162.70000000000002pt;height:23.5pt;z-index:-125829366;mso-wrap-distance-left:0;mso-wrap-distance-top:45.600000000000001pt;mso-wrap-distance-right:0;mso-wrap-distance-bottom:52.60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Кому выдан: </w:t>
                      </w:r>
                      <w:r>
                        <w:rPr>
                          <w:rStyle w:val="CharStyle24"/>
                          <w:color w:val="000000"/>
                        </w:rPr>
                        <w:t xml:space="preserve">Парнищева Марина Михайловна </w:t>
                      </w:r>
                      <w:r>
                        <w:rPr>
                          <w:rStyle w:val="CharStyle24"/>
                        </w:rPr>
                        <w:t xml:space="preserve">Сертификат </w:t>
                      </w:r>
                      <w:r>
                        <w:rPr>
                          <w:rStyle w:val="CharStyle24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4"/>
                          <w:lang w:val="en-US" w:eastAsia="en-US"/>
                        </w:rPr>
                        <w:t>5D501</w:t>
                      </w:r>
                      <w:r>
                        <w:rPr>
                          <w:rStyle w:val="CharStyle24"/>
                        </w:rPr>
                        <w:t>3951</w:t>
                      </w:r>
                      <w:r>
                        <w:rPr>
                          <w:rStyle w:val="CharStyle24"/>
                          <w:lang w:val="en-US" w:eastAsia="en-US"/>
                        </w:rPr>
                        <w:t>EF9A8AF8F923889138B1</w:t>
                      </w:r>
                      <w:r>
                        <w:rPr>
                          <w:rStyle w:val="CharStyle24"/>
                        </w:rPr>
                        <w:t>805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>Действителен с 20.01.2026 по 15.04.2027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877570" distB="635" distL="0" distR="1786255" simplePos="0" relativeHeight="125829389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877570</wp:posOffset>
            </wp:positionV>
            <wp:extent cx="389890" cy="6705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38989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1429385</wp:posOffset>
                </wp:positionV>
                <wp:extent cx="128333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5.09999999999999pt;margin-top:112.55pt;width:101.05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1112520</wp:posOffset>
                </wp:positionV>
                <wp:extent cx="1722120" cy="259080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1.95000000000002pt;margin-top:87.600000000000009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600710" distB="709930" distL="0" distR="0" simplePos="0" relativeHeight="125829390" behindDoc="0" locked="0" layoutInCell="1" allowOverlap="1">
                <wp:simplePos x="0" y="0"/>
                <wp:positionH relativeFrom="page">
                  <wp:posOffset>5938520</wp:posOffset>
                </wp:positionH>
                <wp:positionV relativeFrom="paragraph">
                  <wp:posOffset>600710</wp:posOffset>
                </wp:positionV>
                <wp:extent cx="1252855" cy="23495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5285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М.М. Парнищева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7.60000000000002pt;margin-top:47.300000000000004pt;width:98.650000000000006pt;height:18.5pt;z-index:-125829363;mso-wrap-distance-left:0;mso-wrap-distance-top:47.300000000000004pt;mso-wrap-distance-right:0;mso-wrap-distance-bottom:55.899999999999999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М.М. Парнищева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195070" distB="118745" distL="0" distR="0" simplePos="0" relativeHeight="125829392" behindDoc="0" locked="0" layoutInCell="1" allowOverlap="1">
                <wp:simplePos x="0" y="0"/>
                <wp:positionH relativeFrom="page">
                  <wp:posOffset>6139180</wp:posOffset>
                </wp:positionH>
                <wp:positionV relativeFrom="paragraph">
                  <wp:posOffset>1195070</wp:posOffset>
                </wp:positionV>
                <wp:extent cx="1045210" cy="231775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И.И. Левченко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483.40000000000003pt;margin-top:94.100000000000009pt;width:82.299999999999997pt;height:18.25pt;z-index:-125829361;mso-wrap-distance-left:0;mso-wrap-distance-top:94.100000000000009pt;mso-wrap-distance-right:0;mso-wrap-distance-bottom:9.3499999999999996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И.И. Левченко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2014855" distL="0" distR="0" simplePos="0" relativeHeight="125829394" behindDoc="0" locked="0" layoutInCell="1" allowOverlap="1">
                <wp:simplePos x="0" y="0"/>
                <wp:positionH relativeFrom="page">
                  <wp:posOffset>2664460</wp:posOffset>
                </wp:positionH>
                <wp:positionV relativeFrom="paragraph">
                  <wp:posOffset>38100</wp:posOffset>
                </wp:positionV>
                <wp:extent cx="2106295" cy="29845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629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4"/>
                                <w:color w:val="000000"/>
                              </w:rPr>
                              <w:t>Левченко Иван Игоревич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4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4"/>
                              </w:rPr>
                              <w:t>1829С8В58С4СС6С13213576Е40ЕВ7223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Действителен с </w:t>
                            </w:r>
                            <w:r>
                              <w:rPr>
                                <w:rStyle w:val="CharStyle24"/>
                                <w:color w:val="5C5C5C"/>
                              </w:rPr>
                              <w:t>20.08.2025 по 1</w:t>
                            </w:r>
                            <w:r>
                              <w:rPr>
                                <w:rStyle w:val="CharStyle24"/>
                              </w:rPr>
                              <w:t>3.1</w:t>
                            </w:r>
                            <w:r>
                              <w:rPr>
                                <w:rStyle w:val="CharStyle24"/>
                                <w:color w:val="292929"/>
                              </w:rPr>
                              <w:t>1</w:t>
                            </w:r>
                            <w:r>
                              <w:rPr>
                                <w:rStyle w:val="CharStyle24"/>
                              </w:rPr>
                              <w:t>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09.80000000000001pt;margin-top:3.pt;width:165.84999999999999pt;height:23.5pt;z-index:-125829359;mso-wrap-distance-left:0;mso-wrap-distance-top:3.pt;mso-wrap-distance-right:0;mso-wrap-distance-bottom:158.65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Кому выдан: </w:t>
                      </w:r>
                      <w:r>
                        <w:rPr>
                          <w:rStyle w:val="CharStyle24"/>
                          <w:color w:val="000000"/>
                        </w:rPr>
                        <w:t>Левченко Иван Игоревич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Сертификат </w:t>
                      </w:r>
                      <w:r>
                        <w:rPr>
                          <w:rStyle w:val="CharStyle24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4"/>
                        </w:rPr>
                        <w:t>1829С8В58С4СС6С13213576Е40ЕВ7223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Действителен с </w:t>
                      </w:r>
                      <w:r>
                        <w:rPr>
                          <w:rStyle w:val="CharStyle24"/>
                          <w:color w:val="5C5C5C"/>
                        </w:rPr>
                        <w:t>20.08.2025 по 1</w:t>
                      </w:r>
                      <w:r>
                        <w:rPr>
                          <w:rStyle w:val="CharStyle24"/>
                        </w:rPr>
                        <w:t>3.1</w:t>
                      </w:r>
                      <w:r>
                        <w:rPr>
                          <w:rStyle w:val="CharStyle24"/>
                          <w:color w:val="292929"/>
                        </w:rPr>
                        <w:t>1</w:t>
                      </w:r>
                      <w:r>
                        <w:rPr>
                          <w:rStyle w:val="CharStyle24"/>
                        </w:rPr>
                        <w:t>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88290" distB="1828165" distL="0" distR="0" simplePos="0" relativeHeight="125829396" behindDoc="0" locked="0" layoutInCell="1" allowOverlap="1">
                <wp:simplePos x="0" y="0"/>
                <wp:positionH relativeFrom="page">
                  <wp:posOffset>6257925</wp:posOffset>
                </wp:positionH>
                <wp:positionV relativeFrom="paragraph">
                  <wp:posOffset>288290</wp:posOffset>
                </wp:positionV>
                <wp:extent cx="929640" cy="234950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964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Г.С. Иванова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92.75pt;margin-top:22.699999999999999pt;width:73.200000000000003pt;height:18.5pt;z-index:-125829357;mso-wrap-distance-left:0;mso-wrap-distance-top:22.699999999999999pt;mso-wrap-distance-right:0;mso-wrap-distance-bottom:143.95000000000002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Г.С. Иванова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74675" distB="1517650" distL="0" distR="0" simplePos="0" relativeHeight="125829398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574675</wp:posOffset>
                </wp:positionV>
                <wp:extent cx="1722120" cy="25908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1"/>
                                <w:szCs w:val="11"/>
                              </w:rPr>
                            </w:pPr>
                            <w:r>
                              <w:rPr>
                                <w:rStyle w:val="CharStyle3"/>
                                <w:rFonts w:ascii="Georgia" w:eastAsia="Georgia" w:hAnsi="Georgia" w:cs="Georgia"/>
                                <w:color w:val="292929"/>
                                <w:sz w:val="11"/>
                                <w:szCs w:val="1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1.95000000000002pt;margin-top:45.25pt;width:135.59999999999999pt;height:20.400000000000002pt;z-index:-125829355;mso-wrap-distance-left:0;mso-wrap-distance-top:45.25pt;mso-wrap-distance-right:0;mso-wrap-distance-bottom:119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1"/>
                          <w:szCs w:val="11"/>
                        </w:rPr>
                      </w:pPr>
                      <w:r>
                        <w:rPr>
                          <w:rStyle w:val="CharStyle3"/>
                          <w:rFonts w:ascii="Georgia" w:eastAsia="Georgia" w:hAnsi="Georgia" w:cs="Georgia"/>
                          <w:color w:val="292929"/>
                          <w:sz w:val="11"/>
                          <w:szCs w:val="1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91540" distB="1359535" distL="0" distR="0" simplePos="0" relativeHeight="125829400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891540</wp:posOffset>
                </wp:positionV>
                <wp:extent cx="1283335" cy="10033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3"/>
                                <w:rFonts w:ascii="Georgia" w:eastAsia="Georgia" w:hAnsi="Georgia" w:cs="Georgia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5.09999999999999pt;margin-top:70.200000000000003pt;width:101.05pt;height:7.9000000000000004pt;z-index:-125829353;mso-wrap-distance-left:0;mso-wrap-distance-top:70.200000000000003pt;mso-wrap-distance-right:0;mso-wrap-distance-bottom:107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3"/>
                          <w:rFonts w:ascii="Georgia" w:eastAsia="Georgia" w:hAnsi="Georgia" w:cs="Georgia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047115" distB="1005840" distL="0" distR="0" simplePos="0" relativeHeight="125829402" behindDoc="0" locked="0" layoutInCell="1" allowOverlap="1">
                <wp:simplePos x="0" y="0"/>
                <wp:positionH relativeFrom="page">
                  <wp:posOffset>2664460</wp:posOffset>
                </wp:positionH>
                <wp:positionV relativeFrom="paragraph">
                  <wp:posOffset>1047115</wp:posOffset>
                </wp:positionV>
                <wp:extent cx="2091055" cy="29845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1055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4"/>
                                <w:color w:val="000000"/>
                              </w:rPr>
                              <w:t>Иванова Галина Сергеевна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4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4"/>
                                <w:lang w:val="en-US" w:eastAsia="en-US"/>
                              </w:rPr>
                              <w:t>58163184756BD0B7548E57D472DE02EF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Действителен с 26.06.2025 </w:t>
                            </w:r>
                            <w:r>
                              <w:rPr>
                                <w:rStyle w:val="CharStyle24"/>
                                <w:color w:val="5C5C5C"/>
                              </w:rPr>
                              <w:t xml:space="preserve">по </w:t>
                            </w:r>
                            <w:r>
                              <w:rPr>
                                <w:rStyle w:val="CharStyle24"/>
                              </w:rPr>
                              <w:t>19.09.2026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209.80000000000001pt;margin-top:82.450000000000003pt;width:164.65000000000001pt;height:23.5pt;z-index:-125829351;mso-wrap-distance-left:0;mso-wrap-distance-top:82.450000000000003pt;mso-wrap-distance-right:0;mso-wrap-distance-bottom:79.200000000000003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Кому выдан: </w:t>
                      </w:r>
                      <w:r>
                        <w:rPr>
                          <w:rStyle w:val="CharStyle24"/>
                          <w:color w:val="000000"/>
                        </w:rPr>
                        <w:t>Иванова Галина Сергеевна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Сертификат </w:t>
                      </w:r>
                      <w:r>
                        <w:rPr>
                          <w:rStyle w:val="CharStyle24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4"/>
                          <w:lang w:val="en-US" w:eastAsia="en-US"/>
                        </w:rPr>
                        <w:t>58163184756BD0B7548E57D472DE02EF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Действителен с 26.06.2025 </w:t>
                      </w:r>
                      <w:r>
                        <w:rPr>
                          <w:rStyle w:val="CharStyle24"/>
                          <w:color w:val="5C5C5C"/>
                        </w:rPr>
                        <w:t xml:space="preserve">по </w:t>
                      </w:r>
                      <w:r>
                        <w:rPr>
                          <w:rStyle w:val="CharStyle24"/>
                        </w:rPr>
                        <w:t>19.09.2026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28370" distB="1191260" distL="0" distR="0" simplePos="0" relativeHeight="125829404" behindDoc="0" locked="0" layoutInCell="1" allowOverlap="1">
                <wp:simplePos x="0" y="0"/>
                <wp:positionH relativeFrom="page">
                  <wp:posOffset>6096635</wp:posOffset>
                </wp:positionH>
                <wp:positionV relativeFrom="paragraph">
                  <wp:posOffset>928370</wp:posOffset>
                </wp:positionV>
                <wp:extent cx="1090930" cy="231775"/>
                <wp:wrapTopAndBottom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093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</w:rPr>
                              <w:t>И.В. Барсукова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480.05000000000001pt;margin-top:73.100000000000009pt;width:85.900000000000006pt;height:18.25pt;z-index:-125829349;mso-wrap-distance-left:0;mso-wrap-distance-top:73.100000000000009pt;mso-wrap-distance-right:0;mso-wrap-distance-bottom:93.799999999999997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</w:rPr>
                        <w:t>И.В. Барсукова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55420" distB="338455" distL="0" distR="1786255" simplePos="0" relativeHeight="125829406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1455420</wp:posOffset>
            </wp:positionV>
            <wp:extent cx="389890" cy="560705"/>
            <wp:wrapTopAndBottom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89890" cy="5607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1897380</wp:posOffset>
                </wp:positionV>
                <wp:extent cx="1283335" cy="100330"/>
                <wp:wrapNone/>
                <wp:docPr id="43" name="Shape 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9" type="#_x0000_t202" style="position:absolute;margin-left:245.09999999999999pt;margin-top:149.40000000000001pt;width:101.05pt;height:7.90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1580515</wp:posOffset>
                </wp:positionV>
                <wp:extent cx="1722120" cy="259080"/>
                <wp:wrapNone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241.95000000000002pt;margin-top:124.45pt;width:135.59999999999999pt;height:20.40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052955" distB="0" distL="0" distR="0" simplePos="0" relativeHeight="125829407" behindDoc="0" locked="0" layoutInCell="1" allowOverlap="1">
                <wp:simplePos x="0" y="0"/>
                <wp:positionH relativeFrom="page">
                  <wp:posOffset>2664460</wp:posOffset>
                </wp:positionH>
                <wp:positionV relativeFrom="paragraph">
                  <wp:posOffset>2052955</wp:posOffset>
                </wp:positionV>
                <wp:extent cx="2194560" cy="29845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2984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4"/>
                                <w:color w:val="000000"/>
                              </w:rPr>
                              <w:t>Барсукова Ирина Валериевна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Сертификат </w:t>
                            </w:r>
                            <w:r>
                              <w:rPr>
                                <w:rStyle w:val="CharStyle24"/>
                                <w:color w:val="292929"/>
                              </w:rPr>
                              <w:t xml:space="preserve">№ </w:t>
                            </w:r>
                            <w:r>
                              <w:rPr>
                                <w:rStyle w:val="CharStyle24"/>
                                <w:lang w:val="en-US" w:eastAsia="en-US"/>
                              </w:rPr>
                              <w:t>00D5E8987E9F5D6755209C15828FEC98FA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4"/>
                              </w:rPr>
                              <w:t xml:space="preserve">Действителен с 05.09.2025 </w:t>
                            </w:r>
                            <w:r>
                              <w:rPr>
                                <w:rStyle w:val="CharStyle24"/>
                                <w:color w:val="5C5C5C"/>
                              </w:rPr>
                              <w:t xml:space="preserve">по </w:t>
                            </w:r>
                            <w:r>
                              <w:rPr>
                                <w:rStyle w:val="CharStyle24"/>
                              </w:rPr>
                              <w:t>29.1</w:t>
                            </w:r>
                            <w:r>
                              <w:rPr>
                                <w:rStyle w:val="CharStyle24"/>
                                <w:color w:val="292929"/>
                              </w:rPr>
                              <w:t>1</w:t>
                            </w:r>
                            <w:r>
                              <w:rPr>
                                <w:rStyle w:val="CharStyle24"/>
                              </w:rPr>
                              <w:t>.2026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209.80000000000001pt;margin-top:161.65000000000001pt;width:172.80000000000001pt;height:23.5pt;z-index:-125829346;mso-wrap-distance-left:0;mso-wrap-distance-top:161.65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Кому выдан: </w:t>
                      </w:r>
                      <w:r>
                        <w:rPr>
                          <w:rStyle w:val="CharStyle24"/>
                          <w:color w:val="000000"/>
                        </w:rPr>
                        <w:t>Барсукова Ирина Валериевна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Сертификат </w:t>
                      </w:r>
                      <w:r>
                        <w:rPr>
                          <w:rStyle w:val="CharStyle24"/>
                          <w:color w:val="292929"/>
                        </w:rPr>
                        <w:t xml:space="preserve">№ </w:t>
                      </w:r>
                      <w:r>
                        <w:rPr>
                          <w:rStyle w:val="CharStyle24"/>
                          <w:lang w:val="en-US" w:eastAsia="en-US"/>
                        </w:rPr>
                        <w:t>00D5E8987E9F5D6755209C15828FEC98FA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4"/>
                        </w:rPr>
                        <w:t xml:space="preserve">Действителен с 05.09.2025 </w:t>
                      </w:r>
                      <w:r>
                        <w:rPr>
                          <w:rStyle w:val="CharStyle24"/>
                          <w:color w:val="5C5C5C"/>
                        </w:rPr>
                        <w:t xml:space="preserve">по </w:t>
                      </w:r>
                      <w:r>
                        <w:rPr>
                          <w:rStyle w:val="CharStyle24"/>
                        </w:rPr>
                        <w:t>29.1</w:t>
                      </w:r>
                      <w:r>
                        <w:rPr>
                          <w:rStyle w:val="CharStyle24"/>
                          <w:color w:val="292929"/>
                        </w:rPr>
                        <w:t>1</w:t>
                      </w:r>
                      <w:r>
                        <w:rPr>
                          <w:rStyle w:val="CharStyle24"/>
                        </w:rPr>
                        <w:t>.2026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494790" distB="621665" distL="0" distR="0" simplePos="0" relativeHeight="125829409" behindDoc="0" locked="0" layoutInCell="1" allowOverlap="1">
                <wp:simplePos x="0" y="0"/>
                <wp:positionH relativeFrom="page">
                  <wp:posOffset>6057265</wp:posOffset>
                </wp:positionH>
                <wp:positionV relativeFrom="paragraph">
                  <wp:posOffset>1494790</wp:posOffset>
                </wp:positionV>
                <wp:extent cx="1130935" cy="23495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0935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М.А. Москвина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476.94999999999999pt;margin-top:117.7pt;width:89.049999999999997pt;height:18.5pt;z-index:-125829344;mso-wrap-distance-left:0;mso-wrap-distance-top:117.7pt;mso-wrap-distance-right:0;mso-wrap-distance-bottom:48.950000000000003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М.А. Москвина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w:drawing>
          <wp:anchor distT="101600" distB="0" distL="0" distR="1786255" simplePos="0" relativeHeight="125829411" behindDoc="0" locked="0" layoutInCell="1" allowOverlap="1">
            <wp:simplePos x="0" y="0"/>
            <wp:positionH relativeFrom="page">
              <wp:posOffset>2621915</wp:posOffset>
            </wp:positionH>
            <wp:positionV relativeFrom="paragraph">
              <wp:posOffset>101600</wp:posOffset>
            </wp:positionV>
            <wp:extent cx="389890" cy="554990"/>
            <wp:wrapTopAndBottom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3112770</wp:posOffset>
                </wp:positionH>
                <wp:positionV relativeFrom="paragraph">
                  <wp:posOffset>540385</wp:posOffset>
                </wp:positionV>
                <wp:extent cx="1283335" cy="100330"/>
                <wp:wrapNone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1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245.09999999999999pt;margin-top:42.550000000000004pt;width:101.05pt;height:7.9000000000000004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1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223520</wp:posOffset>
                </wp:positionV>
                <wp:extent cx="1722120" cy="259080"/>
                <wp:wrapNone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1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241.95000000000002pt;margin-top:17.600000000000001pt;width:135.59999999999999pt;height:20.400000000000002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1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4"/>
        </w:rPr>
        <w:t xml:space="preserve">Кому выдан: </w:t>
      </w:r>
      <w:r>
        <w:rPr>
          <w:rStyle w:val="CharStyle24"/>
          <w:color w:val="000000"/>
        </w:rPr>
        <w:t>Москвина Марина Александровна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100" w:right="0" w:firstLine="0"/>
        <w:jc w:val="left"/>
      </w:pPr>
      <w:r>
        <w:rPr>
          <w:rStyle w:val="CharStyle24"/>
        </w:rPr>
        <w:t xml:space="preserve">Сертификат </w:t>
      </w:r>
      <w:r>
        <w:rPr>
          <w:rStyle w:val="CharStyle24"/>
          <w:color w:val="292929"/>
        </w:rPr>
        <w:t xml:space="preserve">№ </w:t>
      </w:r>
      <w:r>
        <w:rPr>
          <w:rStyle w:val="CharStyle24"/>
          <w:lang w:val="en-US" w:eastAsia="en-US"/>
        </w:rPr>
        <w:t>4C54025F16D24F872A58A9F2973B2225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2680" w:line="240" w:lineRule="auto"/>
        <w:ind w:left="3100" w:right="0" w:firstLine="0"/>
        <w:jc w:val="left"/>
      </w:pPr>
      <w:r>
        <w:rPr>
          <w:rStyle w:val="CharStyle24"/>
        </w:rPr>
        <w:t>Действителен с 24.03.2026 по 17.06.2027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Исп.Левченко И.И.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Style w:val="CharStyle3"/>
          <w:sz w:val="22"/>
          <w:szCs w:val="22"/>
        </w:rPr>
        <w:t>тел.8(4162)37-21-73; вн. 028-217</w:t>
      </w:r>
    </w:p>
    <w:sectPr>
      <w:headerReference w:type="default" r:id="rId16"/>
      <w:footerReference w:type="default" r:id="rId17"/>
      <w:footnotePr>
        <w:pos w:val="pageBottom"/>
        <w:numFmt w:val="decimal"/>
        <w:numRestart w:val="continuous"/>
      </w:footnotePr>
      <w:pgSz w:w="11900" w:h="16840"/>
      <w:pgMar w:top="1662" w:right="545" w:bottom="1350" w:left="1103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66167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2026-1994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6.75pt;margin-top:775.70000000000005pt;width:52.100000000000001pt;height:10.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10010140</wp:posOffset>
              </wp:positionV>
              <wp:extent cx="661670" cy="128270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6"/>
                              <w:sz w:val="24"/>
                              <w:szCs w:val="24"/>
                            </w:rPr>
                            <w:t>2026-1994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56.700000000000003pt;margin-top:788.20000000000005pt;width:52.100000000000001pt;height:10.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6"/>
                        <w:sz w:val="24"/>
                        <w:szCs w:val="24"/>
                      </w:rPr>
                      <w:t>2026-1994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796290</wp:posOffset>
              </wp:positionV>
              <wp:extent cx="76200" cy="6985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8.75pt;margin-top:62.700000000000003pt;width:6.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3926205</wp:posOffset>
              </wp:positionH>
              <wp:positionV relativeFrom="page">
                <wp:posOffset>756285</wp:posOffset>
              </wp:positionV>
              <wp:extent cx="57785" cy="10668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6"/>
                                <w:sz w:val="24"/>
                                <w:szCs w:val="24"/>
                                <w:lang w:val="en-US" w:eastAsia="en-US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309.15000000000003pt;margin-top:59.550000000000004pt;width:4.5499999999999998pt;height:8.4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6"/>
                          <w:sz w:val="24"/>
                          <w:szCs w:val="24"/>
                          <w:lang w:val="en-US" w:eastAsia="en-US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Other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Header or footer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Heading #2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6">
    <w:name w:val="Body text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1">
    <w:name w:val="Picture caption_"/>
    <w:basedOn w:val="DefaultParagraphFont"/>
    <w:link w:val="Style20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4">
    <w:name w:val="Body text (2)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  <w:style w:type="paragraph" w:customStyle="1" w:styleId="Style2">
    <w:name w:val="Other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Header or footer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Heading #2"/>
    <w:basedOn w:val="Normal"/>
    <w:link w:val="CharStyle12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styleId="Style15">
    <w:name w:val="Body text"/>
    <w:basedOn w:val="Normal"/>
    <w:link w:val="CharStyle16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2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0">
    <w:name w:val="Picture caption"/>
    <w:basedOn w:val="Normal"/>
    <w:link w:val="CharStyle21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3">
    <w:name w:val="Body text (2)"/>
    <w:basedOn w:val="Normal"/>
    <w:link w:val="CharStyle2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24242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image" Target="media/image1.jpeg"/><Relationship Id="rId9" Type="http://schemas.openxmlformats.org/officeDocument/2006/relationships/image" Target="media/image1.jpeg" TargetMode="External"/><Relationship Id="rId10" Type="http://schemas.openxmlformats.org/officeDocument/2006/relationships/image" Target="media/image2.jpeg"/><Relationship Id="rId11" Type="http://schemas.openxmlformats.org/officeDocument/2006/relationships/image" Target="media/image2.jpeg" TargetMode="External"/><Relationship Id="rId12" Type="http://schemas.openxmlformats.org/officeDocument/2006/relationships/image" Target="media/image3.jpeg"/><Relationship Id="rId13" Type="http://schemas.openxmlformats.org/officeDocument/2006/relationships/image" Target="media/image3.jpeg" TargetMode="External"/><Relationship Id="rId14" Type="http://schemas.openxmlformats.org/officeDocument/2006/relationships/image" Target="media/image4.jpeg"/><Relationship Id="rId15" Type="http://schemas.openxmlformats.org/officeDocument/2006/relationships/image" Target="media/image4.jpeg" TargetMode="External"/><Relationship Id="rId16" Type="http://schemas.openxmlformats.org/officeDocument/2006/relationships/header" Target="header2.xml"/><Relationship Id="rId17" Type="http://schemas.openxmlformats.org/officeDocument/2006/relationships/footer" Target="footer3.xml"/></Relationships>
</file>