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86094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Федеральной антимонопольной службы</w:t>
        <w:br/>
        <w:t>по Оренбургской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</w:rPr>
        <w:t>Адрес места нахождения: г. Оренбург, ул. Краснознаменная. 22</w:t>
        <w:br/>
        <w:t>Почтовый адрес: ул. 9 Января, 64, г. Оренбург, 460046</w:t>
        <w:br/>
        <w:t>тел. (3532) 78-66-17, факс (3532) 77-80-70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  <w:lang w:val="en-US" w:eastAsia="en-US"/>
        </w:rPr>
        <w:t xml:space="preserve">e-mail: </w:t>
      </w:r>
      <w:r>
        <w:fldChar w:fldCharType="begin"/>
      </w:r>
      <w:r>
        <w:rPr/>
        <w:instrText> HYPERLINK "mailto:to56@fas.gov.ru" </w:instrText>
      </w:r>
      <w:r>
        <w:fldChar w:fldCharType="separate"/>
      </w:r>
      <w:r>
        <w:rPr>
          <w:rStyle w:val="CharStyle3"/>
          <w:color w:val="486094"/>
          <w:sz w:val="14"/>
          <w:szCs w:val="14"/>
          <w:lang w:val="en-US" w:eastAsia="en-US"/>
        </w:rPr>
        <w:t>to56@fas.gov.ru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4.05.2026</w:t>
        <w:tab/>
      </w:r>
      <w:r>
        <w:fldChar w:fldCharType="end"/>
      </w:r>
      <w:r>
        <w:rPr>
          <w:rStyle w:val="CharStyle11"/>
        </w:rPr>
        <w:t>№ ЛЧ/3382/26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86094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4"/>
          <w:b/>
          <w:bCs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4"/>
        </w:rPr>
        <w:t>Общество с ограниченной ответственностью «АСДМ»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4"/>
        </w:rPr>
        <w:t>443100, г. Самара, ул. Лесная, д.9, 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4"/>
        </w:rPr>
        <w:t>№12-13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4"/>
          <w:b/>
          <w:bCs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4"/>
        </w:rPr>
        <w:t>Государственное учреждение «Главное управление дорожного хозяйства Оренбургской области»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4"/>
        </w:rPr>
        <w:t>460000, г. Оренбург, ул. Пролетарская, 58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4"/>
          <w:b/>
          <w:bCs/>
        </w:rPr>
        <w:t>Уполномоченный орган: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4"/>
        </w:rPr>
        <w:t>Государственное казенное учреждение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4"/>
        </w:rPr>
        <w:t>Оренбургской области «Центр организации закупок»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4"/>
        </w:rPr>
        <w:t>460006, г. Оренбург, ул. Комсомольская,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699" w:bottom="1212" w:left="1135" w:header="0" w:footer="3" w:gutter="0"/>
          <w:pgNumType w:start="1"/>
          <w:cols w:num="2" w:space="720" w:equalWidth="0">
            <w:col w:w="4195" w:space="1075"/>
            <w:col w:w="4795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122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0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381000</wp:posOffset>
                </wp:positionV>
                <wp:extent cx="868680" cy="2438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г. Оренбург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8.44999999999999pt;margin-top:30.pt;width:68.400000000000006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г. Оренбург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>по делу № 056/06/105-548/2026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4"/>
        </w:rPr>
        <w:t>08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Резолютивная часть решения оглашена 08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4"/>
        </w:rPr>
        <w:t>Решение в полном объеме изготовлено 14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Оренбургского УФАС России по контролю в сфере осуществления закупок (далее – Комиссия Оренбургского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Председателя Комиссии: Чугуновой Л.А.,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членов Комиссии: Масюковой Е.С., Кузьменко А.А.,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в режиме видео-конференц-связи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Общества с ограниченной ответственностью «АСДМ» – Терлецкого Д.С. (на основании выписки),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Государственного учреждения «Главное управление дорожного хозяйства Оренбургской области» – Горностаевой-Корж Н.Н. (на основании доверенности), до объявления перерыва,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Государственного казенного учреждения Оренбургской области «Центр организации закупок» – Дусаевой Р.Р. (на основании доверенности), до объявления перерыва,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40"/>
        <w:jc w:val="both"/>
      </w:pPr>
      <w:r>
        <w:rPr>
          <w:rStyle w:val="CharStyle14"/>
        </w:rPr>
        <w:t>рассмотрев жалобу Общества с ограниченной ответственностью «АСДМ» на действия Государственного учреждения «Главное управление дорожного хозяйства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0"/>
        </w:rPr>
        <w:t>IIIIIIIIIIIIIIIIIIIIIIII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4"/>
        </w:rPr>
        <w:t xml:space="preserve">Оренбургской области» при проведении открытого конкурса в электронной форме на выполнение работ по разработке проектной документации на капитальный ремонт автомобильной дороги Подъезд к пос. Первомайский от автомобильной дороги Р-239 Казань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Оренбург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Акбулак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граница с Республикой Казахстан с Подъездом к управлению механизации и транспорта в части устройства недостающего освещения и тротуаров в Оренбургском районе Оренбургской области (извещение </w:t>
      </w:r>
      <w:r>
        <w:rPr>
          <w:rStyle w:val="CharStyle14"/>
          <w:lang w:val="en-US" w:eastAsia="en-US"/>
        </w:rPr>
        <w:t>№ 0853500000326002265),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Оренбургское УФАС России поступила жалоба </w:t>
      </w:r>
      <w:r>
        <w:rPr>
          <w:rStyle w:val="CharStyle14"/>
          <w:lang w:val="en-US" w:eastAsia="en-US"/>
        </w:rPr>
        <w:t xml:space="preserve">(№ 202600106634000342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30.04.2026) </w:t>
      </w:r>
      <w:r>
        <w:rPr>
          <w:rStyle w:val="CharStyle14"/>
        </w:rPr>
        <w:t xml:space="preserve">Общества с ограниченной ответственностью «АСДМ»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Заявитель, ООО «АСДМ») на действия Государственного учреждения «Главное управление дорожного хозяйства Оренбургской области»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Заказчик, Учреждение, ГУ «ГУДХОО») при проведении открытого конкурса в электронной форме на выполнение работ по разработке проектной документации на капитальный ремонт автомобильной дороги Подъезд к пос. Первомайский от автомобильной дороги Р-239 Казань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Оренбург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Акбулак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граница с Республикой Казахстан с Подъездом к управлению механизации и транспорта в части устройства недостающего освещения и тротуаров в Оренбургском районе Оренбургской области (извещение </w:t>
      </w:r>
      <w:r>
        <w:rPr>
          <w:rStyle w:val="CharStyle14"/>
          <w:lang w:val="en-US" w:eastAsia="en-US"/>
        </w:rPr>
        <w:t>№ 0853500000326002265).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связи с поступившей жалобой, в порядке ч.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системе), Заказчику, Уполномоченному органу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Присутствующий на рассмотрении жалобы представитель Заявителя доводы жалобы поддержал в полном объеме, указав на следующее. По мнению Заявителя, заявка ООО «АСДМ» была неправомерно отклонена комиссией по рассмотрению заявок Заказчика в связи с непредставлением информации и документов, предусмотренных извещением в соответствии с 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системе, а именно положительного заключения экспертизы проектной документации и (или) результатов инженерных изысканий.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Представитель Заказчика просил признать жалобу необоснованной по основаниям, указанным в письменных пояснениях, обратив внимание Комиссии Оренбургского УФАС России на следующие обстоятельства. В рамках рассмотрения комиссией по осуществлению закупок поданной Заявителем заявки на предмет соответствия дополнительным требованиям установлено, что документы, требуемые заявленной позицией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Постановления Правительства РФ от </w:t>
      </w:r>
      <w:r>
        <w:rPr>
          <w:rStyle w:val="CharStyle14"/>
          <w:lang w:val="en-US" w:eastAsia="en-US"/>
        </w:rPr>
        <w:t xml:space="preserve">29.12.2021 № 2571 </w:t>
      </w:r>
      <w:r>
        <w:rPr>
          <w:rStyle w:val="CharStyle14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в полном объеме отсутствуют, а именно в составе представленного договора </w:t>
      </w:r>
      <w:r>
        <w:rPr>
          <w:rStyle w:val="CharStyle14"/>
          <w:lang w:val="en-US" w:eastAsia="en-US"/>
        </w:rPr>
        <w:t xml:space="preserve">№ 75-1/26/21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10.09.2021 </w:t>
      </w:r>
      <w:r>
        <w:rPr>
          <w:rStyle w:val="CharStyle14"/>
        </w:rPr>
        <w:t xml:space="preserve">отсутствует документ, подтверждающий наличие положительного заключения экспертизы проектной документации и (или) результатов инженерных изысканий. В составе документов приложен документ в формате архив </w:t>
      </w:r>
      <w:r>
        <w:rPr>
          <w:rStyle w:val="CharStyle14"/>
          <w:lang w:val="en-US" w:eastAsia="en-US"/>
        </w:rPr>
        <w:t xml:space="preserve">«zip» </w:t>
      </w:r>
      <w:r>
        <w:rPr>
          <w:rStyle w:val="CharStyle14"/>
        </w:rPr>
        <w:t>под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наименованием </w:t>
      </w:r>
      <w:r>
        <w:rPr>
          <w:rStyle w:val="CharStyle14"/>
          <w:lang w:val="en-US" w:eastAsia="en-US"/>
        </w:rPr>
        <w:t xml:space="preserve">«conclusion.zip», </w:t>
      </w:r>
      <w:r>
        <w:rPr>
          <w:rStyle w:val="CharStyle14"/>
        </w:rPr>
        <w:t xml:space="preserve">содержание которого в формате </w:t>
      </w:r>
      <w:r>
        <w:rPr>
          <w:rStyle w:val="CharStyle14"/>
          <w:lang w:val="en-US" w:eastAsia="en-US"/>
        </w:rPr>
        <w:t xml:space="preserve">«xml» </w:t>
      </w:r>
      <w:r>
        <w:rPr>
          <w:rStyle w:val="CharStyle14"/>
        </w:rPr>
        <w:t>являлось нечитаемым, в связи с чем не подлежало рассмотрению конкурсной комиссией.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Представитель Уполномоченного органа в полном объеме поддержал позицию Заказчика, просил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результате рассмотрения жалобы и осуществления в соответствии с ч.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внеплановой проверки Комиссия Оренбургского УФАС России, проанализировав представленные документы, заслушав приведенные доводы, пришла к следующим выводам: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07.04.2026 </w:t>
      </w:r>
      <w:r>
        <w:rPr>
          <w:rStyle w:val="CharStyle14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и на электронной площадке было размещено извещение о проведении открытого конкурса в электронной форме на выполнение работ по разработке проектной документации на капитальный ремонт автомобильной дороги Подъезд к пос. Первомайский от автомобильной дороги Р-239 Казань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Оренбург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Акбулак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граница с Республикой Казахстан с Подъездом к управлению механизации и транспорта в части устройства недостающего освещения и тротуаров в Оренбургском районе Оренбургской области (извещение </w:t>
      </w:r>
      <w:r>
        <w:rPr>
          <w:rStyle w:val="CharStyle14"/>
          <w:lang w:val="en-US" w:eastAsia="en-US"/>
        </w:rPr>
        <w:t>№ 0853500000326002265).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Начальная (максимальная) цена контракта составляет </w:t>
      </w:r>
      <w:r>
        <w:rPr>
          <w:rStyle w:val="CharStyle14"/>
          <w:lang w:val="en-US" w:eastAsia="en-US"/>
        </w:rPr>
        <w:t xml:space="preserve">5 496 395,18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электронный конкурс начинается с размещения в единой информационной системе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(в том числе путем проведения электронного аукциона)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п.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требования, предъявляемые к участникам закупки в соответствии с частями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настоящего Федерального закона (при наличии такого требования).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п.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ч.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в сфере закупок, перечень документов, которые подтверждают соответствие участников закупок дополнительным требованиям, указанным в частях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>настоящей статьи, устанавливается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ч.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в случае установления Правительством Российской Федерации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силу ч.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информация об установленных требованиях в соответствии с частями </w:t>
      </w:r>
      <w:r>
        <w:rPr>
          <w:rStyle w:val="CharStyle14"/>
          <w:lang w:val="en-US" w:eastAsia="en-US"/>
        </w:rPr>
        <w:t xml:space="preserve">1, 1.1, 2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Дополнительные требования к участникам закупки устанавливаются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29.12.2021 № 2571 </w:t>
      </w:r>
      <w:r>
        <w:rPr>
          <w:rStyle w:val="CharStyle14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Правительства РФ </w:t>
      </w:r>
      <w:r>
        <w:rPr>
          <w:rStyle w:val="CharStyle14"/>
          <w:lang w:val="en-US" w:eastAsia="en-US"/>
        </w:rPr>
        <w:t>№ 2571).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пп. «а»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2571 </w:t>
      </w:r>
      <w:r>
        <w:rPr>
          <w:rStyle w:val="CharStyle14"/>
        </w:rPr>
        <w:t>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Если объект закупки включен в приложение к Постановлению </w:t>
      </w:r>
      <w:r>
        <w:rPr>
          <w:rStyle w:val="CharStyle14"/>
          <w:lang w:val="en-US" w:eastAsia="en-US"/>
        </w:rPr>
        <w:t xml:space="preserve">№ 2571, </w:t>
      </w:r>
      <w:r>
        <w:rPr>
          <w:rStyle w:val="CharStyle14"/>
        </w:rPr>
        <w:t xml:space="preserve">а начальная (максимальная) цена контракта равна или превышает установленные подпунктом «а»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этого постановления размеры, то заказчик обязан установить дополнительные требования по соответствующей позиции приложения к Постановлению </w:t>
      </w:r>
      <w:r>
        <w:rPr>
          <w:rStyle w:val="CharStyle14"/>
          <w:lang w:val="en-US" w:eastAsia="en-US"/>
        </w:rPr>
        <w:t>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абзацем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подпункта «а»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2571 </w:t>
      </w:r>
      <w:r>
        <w:rPr>
          <w:rStyle w:val="CharStyle14"/>
        </w:rPr>
        <w:t xml:space="preserve">установлено, что позиции </w:t>
      </w:r>
      <w:r>
        <w:rPr>
          <w:rStyle w:val="CharStyle14"/>
          <w:lang w:val="en-US" w:eastAsia="en-US"/>
        </w:rPr>
        <w:t xml:space="preserve">6 - 13, 17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18 </w:t>
      </w:r>
      <w:r>
        <w:rPr>
          <w:rStyle w:val="CharStyle14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4"/>
          <w:lang w:val="en-US" w:eastAsia="en-US"/>
        </w:rPr>
        <w:t xml:space="preserve">- 5 </w:t>
      </w:r>
      <w:r>
        <w:rPr>
          <w:rStyle w:val="CharStyle14"/>
        </w:rPr>
        <w:t>млн.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позицией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Постановлению </w:t>
      </w:r>
      <w:r>
        <w:rPr>
          <w:rStyle w:val="CharStyle14"/>
          <w:lang w:val="en-US" w:eastAsia="en-US"/>
        </w:rPr>
        <w:t xml:space="preserve">№ 2571 </w:t>
      </w:r>
      <w:r>
        <w:rPr>
          <w:rStyle w:val="CharStyle14"/>
        </w:rPr>
        <w:t>к участникам закупки на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 предъявляются дополнительные требования о наличии у участника закупки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Цена выполненных работ по договору должна составлять не менее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процентов начальной (максимальной) цены контракта, заключаемого по результатам определения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 документам, подтверждающим соответствие участников закупки дополнительным требованиям, относятся: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исполненный договор;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акт выполненных работ, подтверждающий цену выполненных работ;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Исходя из материалов дела, объектом закупки является выполнение работ по разработке проектной документации на капитальный ремонт автомобильной дороги Подъезд к пос. Первомайский от автомобильной дороги Р-239 Казань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Оренбург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Акбулак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граница с Республикой Казахстан с Подъездом к управлению механизации и транспорта в части устройства недостающего освещения и тротуаров в Оренбургском районе Оренбургской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Из извещения о проведении закупки следует, что Заказчиком установлены следующие требования дополнительные требования в соответствии с 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.1 </w:t>
      </w:r>
      <w:r>
        <w:rPr>
          <w:rStyle w:val="CharStyle14"/>
        </w:rPr>
        <w:t xml:space="preserve">Требования в соответствии с позицией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ПП РФ от </w:t>
      </w:r>
      <w:r>
        <w:rPr>
          <w:rStyle w:val="CharStyle14"/>
          <w:lang w:val="en-US" w:eastAsia="en-US"/>
        </w:rPr>
        <w:t>29.12.2021 № 2571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 Цена выполненных работ по договору должна составлять не менее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rStyle w:val="CharStyle14"/>
          <w:lang w:val="en-US" w:eastAsia="en-US"/>
        </w:rPr>
        <w:t xml:space="preserve">1) </w:t>
      </w:r>
      <w:r>
        <w:rPr>
          <w:rStyle w:val="CharStyle14"/>
        </w:rPr>
        <w:t xml:space="preserve">исполненный договор; </w:t>
      </w:r>
      <w:r>
        <w:rPr>
          <w:rStyle w:val="CharStyle14"/>
          <w:lang w:val="en-US" w:eastAsia="en-US"/>
        </w:rPr>
        <w:t xml:space="preserve">2) </w:t>
      </w:r>
      <w:r>
        <w:rPr>
          <w:rStyle w:val="CharStyle14"/>
        </w:rPr>
        <w:t xml:space="preserve">акт выполненных работ, подтверждающий цену выполненных работ; </w:t>
      </w:r>
      <w:r>
        <w:rPr>
          <w:rStyle w:val="CharStyle14"/>
          <w:lang w:val="en-US" w:eastAsia="en-US"/>
        </w:rPr>
        <w:t xml:space="preserve">3) </w:t>
      </w:r>
      <w:r>
        <w:rPr>
          <w:rStyle w:val="CharStyle14"/>
        </w:rPr>
        <w:t>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заявка на участие в закупке состоит из трех частей. Первая часть должна содержать информацию и документы, предусмотренные подпунктами «а», «б» и «г»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настоящего Федерального закона. Первая часть также может содержать информацию и документы, предусмотренные подпунктом «д»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настоящего Федерального закона. Вторая часть должна содержать информацию и документы, предусмотренные подпунктами «м»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«р» пункта </w:t>
      </w:r>
      <w:r>
        <w:rPr>
          <w:rStyle w:val="CharStyle14"/>
          <w:lang w:val="en-US" w:eastAsia="en-US"/>
        </w:rPr>
        <w:t xml:space="preserve">1, </w:t>
      </w:r>
      <w:r>
        <w:rPr>
          <w:rStyle w:val="CharStyle14"/>
        </w:rPr>
        <w:t xml:space="preserve">подпунктом «в» пункта </w:t>
      </w:r>
      <w:r>
        <w:rPr>
          <w:rStyle w:val="CharStyle14"/>
          <w:lang w:val="en-US" w:eastAsia="en-US"/>
        </w:rPr>
        <w:t xml:space="preserve">2,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настоящего Федерального закона. Третья часть должна содержать информацию, предусмотренную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или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пп. «н»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содержать, в том числе, документы, подтверждающие соответствие участника закупки требованиям, установленным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настоящего Федерального закона, если иное не предусмотрено настоящим Федеральным законом.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24.2 </w:t>
      </w:r>
      <w:r>
        <w:rPr>
          <w:rStyle w:val="CharStyle14"/>
        </w:rPr>
        <w:t xml:space="preserve">Закона о контрактной системе установлено, что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Правительством Российской Федерации в соответствии с частью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силу п.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или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и предусмотренные подпунктом «н»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статьи, не включаются участником закупки в заявку на участие в закупке. Такие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ч.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>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>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настоящего Федерального закона (если такой критерий установлен извещением об осуществлении закупки);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Из положений п.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при рассмотрении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вторых частей заявок на участие в закупке соответствующая заявка подлежит отклонению в случае непредставления информации и документов, предусмотренных пунктами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протоколом рассмотрения и оценки вторых частей заявок на участие в закупке </w:t>
      </w:r>
      <w:r>
        <w:rPr>
          <w:rStyle w:val="CharStyle14"/>
          <w:lang w:val="en-US" w:eastAsia="en-US"/>
        </w:rPr>
        <w:t xml:space="preserve">0853500000326002265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27.04.2026 №ПРОII1 </w:t>
      </w:r>
      <w:r>
        <w:rPr>
          <w:rStyle w:val="CharStyle14"/>
        </w:rPr>
        <w:t xml:space="preserve">заявка ООО «АСДМ» </w:t>
      </w:r>
      <w:r>
        <w:rPr>
          <w:rStyle w:val="CharStyle14"/>
          <w:lang w:val="en-US" w:eastAsia="en-US"/>
        </w:rPr>
        <w:t xml:space="preserve">(№ 121013234) </w:t>
      </w:r>
      <w:r>
        <w:rPr>
          <w:rStyle w:val="CharStyle14"/>
        </w:rPr>
        <w:t xml:space="preserve">отклонена комиссией по осуществлению закупок Заказчика по п.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со следующим обоснованием: «Непредставление информации и документов, предусмотренных извещением в соответствии с 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«Требования в соответствии с позицией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ПП РФ от </w:t>
      </w:r>
      <w:r>
        <w:rPr>
          <w:rStyle w:val="CharStyle14"/>
          <w:lang w:val="en-US" w:eastAsia="en-US"/>
        </w:rPr>
        <w:t xml:space="preserve">29.12.2021 № 2571»: </w:t>
      </w:r>
      <w:r>
        <w:rPr>
          <w:rStyle w:val="CharStyle14"/>
        </w:rPr>
        <w:t>в разделе «Документы по ч.3 ст.31 44-ФЗ» не приложено положительное заключение экспертизы проектной документации и (или) результатов инженерных изысканий».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Из материалов дела следует, что Заявителем на площадке РТС-Тендер в разделе «Документы на соответствие дополнительным требованиям» размещены следующие сведения (документы):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Акт выполненных работ, подтверждающий цену выполненных работ, наименование документа «Акт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ГК </w:t>
      </w:r>
      <w:r>
        <w:rPr>
          <w:rStyle w:val="CharStyle14"/>
          <w:lang w:val="en-US" w:eastAsia="en-US"/>
        </w:rPr>
        <w:t>№75-1-26-21.pdf»;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Акт выполненных работ, подтверждающий цену выполненных работ, наименование документа «Акт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ГК </w:t>
      </w:r>
      <w:r>
        <w:rPr>
          <w:rStyle w:val="CharStyle14"/>
          <w:lang w:val="en-US" w:eastAsia="en-US"/>
        </w:rPr>
        <w:t>№ 75-1-26-21.pdf»;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Акт выполненных работ, подтверждающий цену выполненных работ, наименование документа «Акт </w:t>
      </w:r>
      <w:r>
        <w:rPr>
          <w:rStyle w:val="CharStyle14"/>
          <w:lang w:val="en-US" w:eastAsia="en-US"/>
        </w:rPr>
        <w:t xml:space="preserve">№ 3 </w:t>
      </w:r>
      <w:r>
        <w:rPr>
          <w:rStyle w:val="CharStyle14"/>
        </w:rPr>
        <w:t xml:space="preserve">к ГК </w:t>
      </w:r>
      <w:r>
        <w:rPr>
          <w:rStyle w:val="CharStyle14"/>
          <w:lang w:val="en-US" w:eastAsia="en-US"/>
        </w:rPr>
        <w:t>№ 75-1-26-21.pdf»;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Положительное заключение экспертизы проектной документации и (или) результатов инженерных изысканий, наименование документа </w:t>
      </w:r>
      <w:r>
        <w:rPr>
          <w:rStyle w:val="CharStyle14"/>
          <w:lang w:val="en-US" w:eastAsia="en-US"/>
        </w:rPr>
        <w:t>«conclusion.zip»;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Исполненный договор, номер контракта </w:t>
      </w:r>
      <w:r>
        <w:rPr>
          <w:rStyle w:val="CharStyle14"/>
          <w:lang w:val="en-US" w:eastAsia="en-US"/>
        </w:rPr>
        <w:t>2631580052321000078.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Из информации, поступившей от оператора электронной площадки РТС-Тендер, Комиссией Оренбургского УФАС России установлено, что документ в формате </w:t>
      </w:r>
      <w:r>
        <w:rPr>
          <w:rStyle w:val="CharStyle14"/>
          <w:lang w:val="en-US" w:eastAsia="en-US"/>
        </w:rPr>
        <w:t xml:space="preserve">«xml» </w:t>
      </w:r>
      <w:r>
        <w:rPr>
          <w:rStyle w:val="CharStyle14"/>
        </w:rPr>
        <w:t xml:space="preserve">с наименованием </w:t>
      </w:r>
      <w:r>
        <w:rPr>
          <w:rStyle w:val="CharStyle14"/>
          <w:lang w:val="en-US" w:eastAsia="en-US"/>
        </w:rPr>
        <w:t xml:space="preserve">«conclusion.zip» </w:t>
      </w:r>
      <w:r>
        <w:rPr>
          <w:rStyle w:val="CharStyle14"/>
        </w:rPr>
        <w:t>не поддается прочтению. Указанный факт также не оспаривается Заявителем. Доказательств, свидетельствующих о том, что на стадии проверки соответствия участника дополнительным требованиям у комиссии Заказчика имелась возможность ознакомиться с указанным файлом,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Комиссия по осуществлению закупок принимает решение о соответствии участника закупки дополнительным требованиям, установленным в извещении об осуществлении закупки или приглашении, документации о закупке (в случае, если Законом о контрактной системе предусмотрена документация о закупке) в соответствии с Постановлением </w:t>
      </w:r>
      <w:r>
        <w:rPr>
          <w:rStyle w:val="CharStyle14"/>
          <w:lang w:val="en-US" w:eastAsia="en-US"/>
        </w:rPr>
        <w:t xml:space="preserve">№ 2571, </w:t>
      </w:r>
      <w:r>
        <w:rPr>
          <w:rStyle w:val="CharStyle14"/>
        </w:rPr>
        <w:t xml:space="preserve">исключительно на основании документов и информации, направленных заказчику оператором электронной площадки из реестра участников закупок, аккредитованных на электронной площадке. При этом в ситуации, при которой участник закупки в составе заявки на участие в закупке представил документы и сведения о наличии опыта, такие документы и сведения не подлежат рассмотрению комиссией по осуществлению закупок на предмет соответствия участника закупки дополнительным требованиям, установленным в извещении об осуществлении закупки или приглашении, документации о закупке (в случае, если Законом о контрактной системе предусмотрена документация о закупке) в соответствии с Постановлением </w:t>
      </w:r>
      <w:r>
        <w:rPr>
          <w:rStyle w:val="CharStyle14"/>
          <w:lang w:val="en-US" w:eastAsia="en-US"/>
        </w:rPr>
        <w:t>№ 2571.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Учитывая изложенное, Комиссия Оренбургского УФАС России не усматривает в действиях комиссии по осуществлению закупок Заказчика при рассмотрении заявки ООО «АСДМ» нарушений Закона о контактной системе. Доводы жалобы признаются необоснованными.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руководствуясь ст.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 Оренбургского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Признать жалобу Общества с ограниченной ответственностью «АСДМ» на действия Государственного учреждения «Главное управление дорожного хозяйства Оренбургской области» при проведении открытого конкурса в электронной форме на выполнение работ по разработке проектной документации на капитальный ремонт автомобильной дороги Подъезд к пос. Первомайский от автомобильной дороги Р-239 Казань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Оренбург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Акбулак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граница с Республикой Казахстан с Подъездом к управлению механизации и транспорта в части устройства недостающего освещения и тротуаров в Оренбургском районе Оренбургской области (извещение </w:t>
      </w:r>
      <w:r>
        <w:rPr>
          <w:rStyle w:val="CharStyle14"/>
          <w:lang w:val="en-US" w:eastAsia="en-US"/>
        </w:rPr>
        <w:t xml:space="preserve">№ 0853500000326002265),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Решение может быть обжаловано в судебном порядке в течение 3-х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0" w:right="539" w:bottom="1192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323215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317500</wp:posOffset>
                </wp:positionV>
                <wp:extent cx="175895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25.pt;width:138.5pt;height:19.199999999999999pt;z-index:-125829373;mso-wrap-distance-left:0;mso-wrap-distance-top:25.pt;mso-wrap-distance-right:0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4330" distB="0" distL="0" distR="1786255" simplePos="0" relativeHeight="125829382" behindDoc="0" locked="0" layoutInCell="1" allowOverlap="1">
            <wp:simplePos x="0" y="0"/>
            <wp:positionH relativeFrom="page">
              <wp:posOffset>2748915</wp:posOffset>
            </wp:positionH>
            <wp:positionV relativeFrom="paragraph">
              <wp:posOffset>354330</wp:posOffset>
            </wp:positionV>
            <wp:extent cx="359410" cy="53022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3209290</wp:posOffset>
                </wp:positionH>
                <wp:positionV relativeFrom="paragraph">
                  <wp:posOffset>768985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2.70000000000002pt;margin-top:60.55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3169285</wp:posOffset>
                </wp:positionH>
                <wp:positionV relativeFrom="paragraph">
                  <wp:posOffset>452120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9.55000000000001pt;margin-top:35.6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323215" distL="0" distR="0" simplePos="0" relativeHeight="125829383" behindDoc="0" locked="0" layoutInCell="1" allowOverlap="1">
                <wp:simplePos x="0" y="0"/>
                <wp:positionH relativeFrom="page">
                  <wp:posOffset>6095365</wp:posOffset>
                </wp:positionH>
                <wp:positionV relativeFrom="paragraph">
                  <wp:posOffset>317500</wp:posOffset>
                </wp:positionV>
                <wp:extent cx="1090930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Л.А. Чугунова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9.94999999999999pt;margin-top:25.pt;width:85.900000000000006pt;height:19.199999999999999pt;z-index:-125829370;mso-wrap-distance-left:0;mso-wrap-distance-top:25.pt;mso-wrap-distance-right:0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Л.А. Чугунова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Чугунова Людмила Анатольевна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74421</w:t>
      </w:r>
      <w:r>
        <w:rPr>
          <w:rStyle w:val="CharStyle22"/>
          <w:lang w:val="en-US" w:eastAsia="en-US"/>
        </w:rPr>
        <w:t>65D7680723C94B2A73525A78CD8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C5C5C"/>
        </w:rPr>
        <w:t>21</w:t>
      </w:r>
      <w:r>
        <w:rPr>
          <w:rStyle w:val="CharStyle22"/>
        </w:rPr>
        <w:t xml:space="preserve">.08.2025 </w:t>
      </w:r>
      <w:r>
        <w:rPr>
          <w:rStyle w:val="CharStyle22"/>
          <w:color w:val="5C5C5C"/>
        </w:rPr>
        <w:t>по 14.1</w:t>
      </w:r>
      <w:r>
        <w:rPr>
          <w:rStyle w:val="CharStyle22"/>
          <w:color w:val="292929"/>
        </w:rPr>
        <w:t>1</w:t>
      </w:r>
      <w:r>
        <w:rPr>
          <w:rStyle w:val="CharStyle22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08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23215" distL="0" distR="0" simplePos="0" relativeHeight="125829385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88900</wp:posOffset>
                </wp:positionV>
                <wp:extent cx="1280160" cy="2438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800000000000004pt;margin-top:7.pt;width:100.8pt;height:19.199999999999999pt;z-index:-125829368;mso-wrap-distance-left:0;mso-wrap-distance-top:7.pt;mso-wrap-distance-right:0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4620" distB="0" distL="0" distR="1786255" simplePos="0" relativeHeight="125829387" behindDoc="0" locked="0" layoutInCell="1" allowOverlap="1">
            <wp:simplePos x="0" y="0"/>
            <wp:positionH relativeFrom="page">
              <wp:posOffset>2727325</wp:posOffset>
            </wp:positionH>
            <wp:positionV relativeFrom="paragraph">
              <wp:posOffset>134620</wp:posOffset>
            </wp:positionV>
            <wp:extent cx="359410" cy="5245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3187700</wp:posOffset>
                </wp:positionH>
                <wp:positionV relativeFrom="paragraph">
                  <wp:posOffset>539750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1.pt;margin-top:42.5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222885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7.84999999999999pt;margin-top:17.5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23215" distL="0" distR="0" simplePos="0" relativeHeight="125829388" behindDoc="0" locked="0" layoutInCell="1" allowOverlap="1">
                <wp:simplePos x="0" y="0"/>
                <wp:positionH relativeFrom="page">
                  <wp:posOffset>6059170</wp:posOffset>
                </wp:positionH>
                <wp:positionV relativeFrom="paragraph">
                  <wp:posOffset>88900</wp:posOffset>
                </wp:positionV>
                <wp:extent cx="1124585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Е.С. Масюкова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7.10000000000002pt;margin-top:7.pt;width:88.549999999999997pt;height:19.199999999999999pt;z-index:-125829365;mso-wrap-distance-left:0;mso-wrap-distance-top:7.pt;mso-wrap-distance-right:0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Е.С. Масюкова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Масюкова Екатерина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42EBB802F9BF15A218FA70BA66AE5FF0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Действителен с 28.07.2025 </w:t>
      </w:r>
      <w:r>
        <w:rPr>
          <w:rStyle w:val="CharStyle22"/>
          <w:color w:val="5C5C5C"/>
        </w:rPr>
        <w:t xml:space="preserve">по </w:t>
      </w:r>
      <w:r>
        <w:rPr>
          <w:rStyle w:val="CharStyle22"/>
        </w:rPr>
        <w:t>21.10.2026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08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9235" distB="0" distL="0" distR="0" simplePos="0" relativeHeight="125829390" behindDoc="0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229235</wp:posOffset>
                </wp:positionV>
                <wp:extent cx="1722120" cy="2590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292929"/>
                                <w:sz w:val="11"/>
                                <w:szCs w:val="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7.90000000000001pt;margin-top:18.050000000000001pt;width:135.59999999999999pt;height:20.400000000000002pt;z-index:-125829363;mso-wrap-distance-left:0;mso-wrap-distance-top:18.0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292929"/>
                          <w:sz w:val="11"/>
                          <w:szCs w:val="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55575" distL="0" distR="0" simplePos="0" relativeHeight="125829392" behindDoc="0" locked="0" layoutInCell="1" allowOverlap="1">
                <wp:simplePos x="0" y="0"/>
                <wp:positionH relativeFrom="page">
                  <wp:posOffset>6004560</wp:posOffset>
                </wp:positionH>
                <wp:positionV relativeFrom="paragraph">
                  <wp:posOffset>88900</wp:posOffset>
                </wp:positionV>
                <wp:extent cx="1176655" cy="24384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А.А. Кузьменко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2.80000000000001pt;margin-top:7.pt;width:92.650000000000006pt;height:19.199999999999999pt;z-index:-125829361;mso-wrap-distance-left:0;mso-wrap-distance-top:7.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А.А. Кузьменко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Кузьменко Алия Алмазовна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00CDB4565968FC420183F0DF7B2B5624BC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right="0" w:firstLine="0"/>
        <w:jc w:val="left"/>
      </w:pPr>
      <w:r>
        <w:rPr>
          <w:rStyle w:val="CharStyle22"/>
        </w:rPr>
        <w:t xml:space="preserve">Действителен с 02.10.2025 </w:t>
      </w:r>
      <w:r>
        <w:rPr>
          <w:rStyle w:val="CharStyle22"/>
          <w:color w:val="5C5C5C"/>
        </w:rPr>
        <w:t xml:space="preserve">по </w:t>
      </w:r>
      <w:r>
        <w:rPr>
          <w:rStyle w:val="CharStyle22"/>
        </w:rPr>
        <w:t>26.12.2026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Исп.Кузьменко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тел.8(499)755-23-23 вн. 056-126, 8( 3532)78-66-20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08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9999980</wp:posOffset>
              </wp:positionV>
              <wp:extent cx="652145" cy="121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2026-4410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550000000000004pt;margin-top:787.39999999999998pt;width:51.35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2026-4410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52145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2026-4410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450000000000003pt;margin-top:775.95000000000005pt;width:51.3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2026-4410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