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10"/>
          <w:sz w:val="30"/>
          <w:szCs w:val="3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  <w:sz w:val="30"/>
          <w:szCs w:val="30"/>
        </w:rPr>
        <w:t>3.05.2026</w:t>
      </w:r>
      <w:r>
        <w:fldChar w:fldCharType="end"/>
      </w:r>
      <w:r>
        <w:rPr>
          <w:rStyle w:val="CharStyle10"/>
          <w:sz w:val="30"/>
          <w:szCs w:val="30"/>
        </w:rPr>
        <w:tab/>
        <w:t>№ 20009/26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 xml:space="preserve">ПАО «РОСТЕЛЕКОМ» </w:t>
      </w:r>
      <w:r>
        <w:fldChar w:fldCharType="begin"/>
      </w:r>
      <w:r>
        <w:rPr/>
        <w:instrText> HYPERLINK "mailto:tenders-eruz@rt.ru" </w:instrText>
      </w:r>
      <w:r>
        <w:fldChar w:fldCharType="separate"/>
      </w:r>
      <w:r>
        <w:rPr>
          <w:rStyle w:val="CharStyle10"/>
          <w:lang w:val="en-US" w:eastAsia="en-US"/>
        </w:rPr>
        <w:t>tenders-eruz@rt.ru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 xml:space="preserve">ФГБУ ГМЦ РОССТАТА </w:t>
      </w:r>
      <w:r>
        <w:fldChar w:fldCharType="begin"/>
      </w:r>
      <w:r>
        <w:rPr/>
        <w:instrText> HYPERLINK "mailto:gmc_info@gmc.rosstat.gov.ru" </w:instrText>
      </w:r>
      <w:r>
        <w:fldChar w:fldCharType="separate"/>
      </w:r>
      <w:r>
        <w:rPr>
          <w:rStyle w:val="CharStyle10"/>
          <w:lang w:val="en-US" w:eastAsia="en-US"/>
        </w:rPr>
        <w:t>gmc_info@gmc.rosstat.gov.ru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2057" w:bottom="708" w:left="1293" w:header="0" w:footer="3" w:gutter="0"/>
          <w:pgNumType w:start="1"/>
          <w:cols w:num="2" w:space="720" w:equalWidth="0">
            <w:col w:w="3806" w:space="1306"/>
            <w:col w:w="3437"/>
          </w:cols>
          <w:noEndnote/>
          <w:titlePg/>
          <w:rtlGutter w:val="0"/>
          <w:docGrid w:linePitch="360"/>
        </w:sectPr>
      </w:pPr>
      <w:r>
        <w:rPr>
          <w:rStyle w:val="CharStyle10"/>
        </w:rPr>
        <w:t xml:space="preserve">АО «Сбербанк-АСТ» </w:t>
      </w:r>
      <w:r>
        <w:fldChar w:fldCharType="begin"/>
      </w:r>
      <w:r>
        <w:rPr/>
        <w:instrText> HYPERLINK "mailto:info@sberbank-ast.ru" </w:instrText>
      </w:r>
      <w:r>
        <w:fldChar w:fldCharType="separate"/>
      </w:r>
      <w:r>
        <w:rPr>
          <w:rStyle w:val="CharStyle10"/>
          <w:lang w:val="en-US" w:eastAsia="en-US"/>
        </w:rPr>
        <w:t>info@sberbank-ast.ru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8" w:after="5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82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6"/>
          <w:b/>
          <w:bCs/>
        </w:rPr>
        <w:t>РЕШЕНИЕ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 077/06/105-5754/2026 </w:t>
      </w:r>
      <w:r>
        <w:rPr>
          <w:rStyle w:val="CharStyle10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0"/>
          <w:b/>
          <w:bCs/>
          <w:lang w:val="en-US" w:eastAsia="en-US"/>
        </w:rPr>
        <w:t>07.05.2026</w:t>
        <w:tab/>
      </w:r>
      <w:r>
        <w:rPr>
          <w:rStyle w:val="CharStyle10"/>
          <w:b/>
          <w:bCs/>
        </w:rPr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Председательствующего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Специалиста-эксперта отдела обжалования государственных закупок Е.С. Переверзевой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ФГБУ ГМЦ РОССТАТА: А.В. Любишевой (по дов. от </w:t>
      </w:r>
      <w:r>
        <w:rPr>
          <w:rStyle w:val="CharStyle10"/>
          <w:lang w:val="en-US" w:eastAsia="en-US"/>
        </w:rPr>
        <w:t>12.01.2026 №7-2026),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ПАО «РОСТЕЛЕКОМ»: О.Е. Пивиковой (по дов. от </w:t>
      </w:r>
      <w:r>
        <w:rPr>
          <w:rStyle w:val="CharStyle10"/>
          <w:lang w:val="en-US" w:eastAsia="en-US"/>
        </w:rPr>
        <w:t>08.08.2025 №01/29/2279/25),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рассмотрев жалобу ПАО «РОСТЕЛЕКОМ»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Заявитель) на действия ФГБУ ГМЦ РОССТАТА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Заказчик) при проведении запроса котировок в электронной форме на право заключения государственного контракта на оказание услуг по доступу к информационно-телекоммуникационной сети Интернет (ЦК) (Закупка </w:t>
      </w:r>
      <w:r>
        <w:rPr>
          <w:rStyle w:val="CharStyle10"/>
          <w:lang w:val="en-US" w:eastAsia="en-US"/>
        </w:rPr>
        <w:t xml:space="preserve">№ 0373400014626000016)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запрос котировок), в соответствии с Федеральным законом от </w:t>
      </w:r>
      <w:r>
        <w:rPr>
          <w:rStyle w:val="CharStyle10"/>
          <w:lang w:val="en-US" w:eastAsia="en-US"/>
        </w:rPr>
        <w:t xml:space="preserve">05.04.2013 </w:t>
      </w:r>
      <w:r>
        <w:rPr>
          <w:rStyle w:val="CharStyle10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2286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228600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Заявитель обжалует действия Заказчика, выразившиеся в утверждении положений извещения в нарушение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составе жалобы Заявитель указывает на то, что Заказчиком при формировании извещения о проведении запроса котировок допущены нарушения Закона о контрактной системе, выразившиеся в противоречивом описании объекта закупки в части сроков и объема оказания услуг.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Извещение и проект контракта содержат взаимоисключающие условия, а именно: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информации об объекте закупки указан срок оказания услуг </w:t>
      </w:r>
      <w:r>
        <w:rPr>
          <w:rStyle w:val="CharStyle10"/>
          <w:lang w:val="en-US" w:eastAsia="en-US"/>
        </w:rPr>
        <w:t xml:space="preserve">— 9 </w:t>
      </w:r>
      <w:r>
        <w:rPr>
          <w:rStyle w:val="CharStyle10"/>
        </w:rPr>
        <w:t xml:space="preserve">месяцев (с даты заключения контракта по </w:t>
      </w:r>
      <w:r>
        <w:rPr>
          <w:rStyle w:val="CharStyle10"/>
          <w:lang w:val="en-US" w:eastAsia="en-US"/>
        </w:rPr>
        <w:t>31.01.2027);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проекте контракта (п. </w:t>
      </w:r>
      <w:r>
        <w:rPr>
          <w:rStyle w:val="CharStyle10"/>
          <w:lang w:val="en-US" w:eastAsia="en-US"/>
        </w:rPr>
        <w:t xml:space="preserve">5.1, 5.2) </w:t>
      </w:r>
      <w:r>
        <w:rPr>
          <w:rStyle w:val="CharStyle10"/>
        </w:rPr>
        <w:t xml:space="preserve">установлено окончание оказания услуг </w:t>
      </w:r>
      <w:r>
        <w:rPr>
          <w:rStyle w:val="CharStyle10"/>
          <w:lang w:val="en-US" w:eastAsia="en-US"/>
        </w:rPr>
        <w:t xml:space="preserve">— 31.12.2026 (8 </w:t>
      </w:r>
      <w:r>
        <w:rPr>
          <w:rStyle w:val="CharStyle10"/>
        </w:rPr>
        <w:t>месяцев);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техническом задании указан срок оказания услуг </w:t>
      </w:r>
      <w:r>
        <w:rPr>
          <w:rStyle w:val="CharStyle10"/>
          <w:lang w:val="en-US" w:eastAsia="en-US"/>
        </w:rPr>
        <w:t xml:space="preserve">— 9 </w:t>
      </w:r>
      <w:r>
        <w:rPr>
          <w:rStyle w:val="CharStyle10"/>
        </w:rPr>
        <w:t xml:space="preserve">календарных месяцев с </w:t>
      </w:r>
      <w:r>
        <w:rPr>
          <w:rStyle w:val="CharStyle10"/>
          <w:lang w:val="en-US" w:eastAsia="en-US"/>
        </w:rPr>
        <w:t xml:space="preserve">01.04.2026, </w:t>
      </w:r>
      <w:r>
        <w:rPr>
          <w:rStyle w:val="CharStyle10"/>
        </w:rPr>
        <w:t xml:space="preserve">что объективно невозможно, поскольку контракт на дату размещения извещения </w:t>
      </w:r>
      <w:r>
        <w:rPr>
          <w:rStyle w:val="CharStyle10"/>
          <w:lang w:val="en-US" w:eastAsia="en-US"/>
        </w:rPr>
        <w:t xml:space="preserve">(26.03.2026) </w:t>
      </w:r>
      <w:r>
        <w:rPr>
          <w:rStyle w:val="CharStyle10"/>
        </w:rPr>
        <w:t>еще не заключен.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Таким образом, указанные противоречия не позволяют участникам закупки определить действительный объем и период оказания услуг, что исключает возможность формирования заявки и принятия обоснованного решения об участии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На основании п. </w:t>
      </w:r>
      <w:r>
        <w:rPr>
          <w:rStyle w:val="CharStyle10"/>
          <w:lang w:val="en-US" w:eastAsia="en-US"/>
        </w:rPr>
        <w:t xml:space="preserve">9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>Закона о контрактной системе извещение об осуществлении закупки должно содержать информацию, в том числе, о начальной (максимальной) цене контракта (цене отдельных этапов исполнения контракта, если проектом контракта предусмотрены такие этапы), источник финансирования, наименование валюты в соответствии с общероссийским классификатором валют. В случае, предусмотренном ч.24 ст.22 Закона о контрактной системе, указываются начальная цена единицы товара, работы, услуги, а также начальная сумма цен указанных единиц и максимальное значение цены контракта. В случаях, установленных Правительством Российской Федерации в соответствии с ч.2 ст.34 Закона о контрактной системе, указываются ориентировочное значение цены контракта либо формула цены и максимальное.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Согласно п.1,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>Закона о контрактной системе извещение об осуществлении закупки, если иное не предусмотрено Законом о контрактной системе, должно содержать, в том числе, описание объекта закупки в соответствии со ст.33 Закона о контрактной системе, обоснование начальной (максимальной) цены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Комиссией Управления установлено, что согласно извещению об осуществлении запроса котировок Заказчиком закупается Услуги по доступу к информационно-коммуникационной сети Интернет позиции КТРУ </w:t>
      </w:r>
      <w:r>
        <w:rPr>
          <w:rStyle w:val="CharStyle10"/>
          <w:lang w:val="en-US" w:eastAsia="en-US"/>
        </w:rPr>
        <w:t>61.10.40.000</w:t>
        <w:softHyphen/>
        <w:t xml:space="preserve">00000242 </w:t>
      </w:r>
      <w:r>
        <w:rPr>
          <w:rStyle w:val="CharStyle10"/>
        </w:rPr>
        <w:t xml:space="preserve">и кода ОКПД2 </w:t>
      </w:r>
      <w:r>
        <w:rPr>
          <w:rStyle w:val="CharStyle10"/>
          <w:lang w:val="en-US" w:eastAsia="en-US"/>
        </w:rPr>
        <w:t xml:space="preserve">61.10.40.000 </w:t>
      </w:r>
      <w:r>
        <w:rPr>
          <w:rStyle w:val="CharStyle10"/>
        </w:rPr>
        <w:t xml:space="preserve">с начальной максимальной ценой контракта </w:t>
      </w:r>
      <w:r>
        <w:rPr>
          <w:rStyle w:val="CharStyle10"/>
          <w:lang w:val="en-US" w:eastAsia="en-US"/>
        </w:rPr>
        <w:t xml:space="preserve">99 556,02 </w:t>
      </w:r>
      <w:r>
        <w:rPr>
          <w:rStyle w:val="CharStyle10"/>
        </w:rPr>
        <w:t>руб, для которого Заказчиком установлены следующие характеристики, например: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i/>
          <w:iCs/>
        </w:rPr>
        <w:t xml:space="preserve">«Количество (объем работы, услуги): </w:t>
      </w:r>
      <w:r>
        <w:rPr>
          <w:rStyle w:val="CharStyle10"/>
          <w:i/>
          <w:iCs/>
          <w:lang w:val="en-US" w:eastAsia="en-US"/>
        </w:rPr>
        <w:t>9;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i/>
          <w:iCs/>
        </w:rPr>
        <w:t>Единица измерения: Месяц».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Более того, в электронном документе «Проект контракта (Интернет Саранск)» указана следующая информация: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i/>
          <w:iCs/>
          <w:lang w:val="en-US" w:eastAsia="en-US"/>
        </w:rPr>
        <w:t xml:space="preserve">«3.2. </w:t>
      </w:r>
      <w:r>
        <w:rPr>
          <w:rStyle w:val="CharStyle10"/>
          <w:i/>
          <w:iCs/>
        </w:rPr>
        <w:t xml:space="preserve">Сроки оказания услуг: девять календарных месяцев </w:t>
      </w:r>
      <w:r>
        <w:rPr>
          <w:rStyle w:val="CharStyle10"/>
          <w:i/>
          <w:iCs/>
          <w:lang w:val="en-US" w:eastAsia="en-US"/>
        </w:rPr>
        <w:t xml:space="preserve">– </w:t>
      </w:r>
      <w:r>
        <w:rPr>
          <w:rStyle w:val="CharStyle10"/>
          <w:i/>
          <w:iCs/>
        </w:rPr>
        <w:t xml:space="preserve">с </w:t>
      </w:r>
      <w:r>
        <w:rPr>
          <w:rStyle w:val="CharStyle10"/>
          <w:i/>
          <w:iCs/>
          <w:lang w:val="en-US" w:eastAsia="en-US"/>
        </w:rPr>
        <w:t xml:space="preserve">01.04.2026 </w:t>
      </w:r>
      <w:r>
        <w:rPr>
          <w:rStyle w:val="CharStyle10"/>
          <w:i/>
          <w:iCs/>
        </w:rPr>
        <w:t>г.»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заседании Комиссии Управления представитель Заказчика пояснил, что допущена техническая ошибка при формировании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основании вышеизложенного Комиссия Управления приходит к выводу о нарушении Заказчиком п.1 ч.1 ст.33 Закона о контрактной системе, что содержит признаки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.Признать жалобу ПАО «РОСТЕЛЕКОМ»» на действия ФГБУ ГМЦ РОССТАТА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Признать в действиях Заказчика нарушение п.1 ч.1 ст.33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.Обязательное для исполнения предписание об устранении нарушений законодательства о контрактной системе не выдавать, так как закупка отменена от </w:t>
      </w:r>
      <w:r>
        <w:rPr>
          <w:rStyle w:val="CharStyle10"/>
          <w:lang w:val="en-US" w:eastAsia="en-US"/>
        </w:rPr>
        <w:t xml:space="preserve">30.04.2026 </w:t>
      </w:r>
      <w:r>
        <w:rPr>
          <w:rStyle w:val="CharStyle10"/>
        </w:rPr>
        <w:t>№ИО1.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5" w:val="left"/>
        </w:tabs>
        <w:bidi w:val="0"/>
        <w:spacing w:before="0" w:after="200" w:line="240" w:lineRule="auto"/>
        <w:ind w:left="0" w:right="0" w:firstLine="720"/>
        <w:jc w:val="both"/>
      </w:pPr>
      <w:r>
        <w:rPr>
          <w:rStyle w:val="CharStyle10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установленном гл.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4" w:bottom="828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36600" distB="341630" distL="0" distR="0" simplePos="0" relativeHeight="125829379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736600</wp:posOffset>
                </wp:positionV>
                <wp:extent cx="184404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050000000000004pt;margin-top:58.pt;width:145.20000000000002pt;height:19.900000000000002pt;z-index:-125829374;mso-wrap-distance-left:0;mso-wrap-distance-top:58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06450" distB="0" distL="0" distR="1786255" simplePos="0" relativeHeight="125829381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806450</wp:posOffset>
            </wp:positionV>
            <wp:extent cx="359410" cy="52451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1214755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0.80000000000001pt;margin-top:95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897890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65000000000003pt;margin-top:70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341630" distL="0" distR="0" simplePos="0" relativeHeight="125829382" behindDoc="0" locked="0" layoutInCell="1" allowOverlap="1">
                <wp:simplePos x="0" y="0"/>
                <wp:positionH relativeFrom="page">
                  <wp:posOffset>5906770</wp:posOffset>
                </wp:positionH>
                <wp:positionV relativeFrom="paragraph">
                  <wp:posOffset>736600</wp:posOffset>
                </wp:positionV>
                <wp:extent cx="1307465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65.10000000000002pt;margin-top:58.pt;width:102.95pt;height:19.900000000000002pt;z-index:-125829371;mso-wrap-distance-left:0;mso-wrap-distance-top:58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  <w:sz w:val="11"/>
          <w:szCs w:val="11"/>
        </w:rPr>
        <w:t>Кутейников Антон Андреевич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67950889C45403E5BD9EBC88A8D80C0D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0"/>
        </w:rPr>
        <w:t xml:space="preserve">Действителен с 19.05.2025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12.08.2026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0.80000000000001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65000000000003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А.А. Матюшенко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  <w:sz w:val="11"/>
          <w:szCs w:val="11"/>
        </w:rPr>
        <w:t>Матюшенко Александр Александрович</w:t>
      </w:r>
      <w:r>
        <w:rPr>
          <w:rStyle w:val="CharStyle20"/>
          <w:color w:val="000000"/>
          <w:sz w:val="11"/>
          <w:szCs w:val="11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4F595A5C3E5ABB2DD77161F08559FC07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/>
        <w:ind w:right="0" w:firstLine="0"/>
        <w:jc w:val="left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15.10.2026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0.80000000000001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65000000000003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Е.С. Переверзева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  <w:sz w:val="11"/>
          <w:szCs w:val="11"/>
        </w:rPr>
        <w:t>ПЕРЕВЕРЗЕВА ЕЛИЗАВЕТА СЕРГЕЕВНА</w:t>
      </w:r>
      <w:r>
        <w:rPr>
          <w:rStyle w:val="CharStyle20"/>
          <w:color w:val="000000"/>
          <w:sz w:val="11"/>
          <w:szCs w:val="11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00FFF3ACD3A01A73F4C680C3941</w:t>
      </w:r>
      <w:r>
        <w:rPr>
          <w:rStyle w:val="CharStyle20"/>
        </w:rPr>
        <w:t>ЕЗСА026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560"/>
        <w:ind w:right="0" w:firstLine="0"/>
        <w:jc w:val="left"/>
      </w:pPr>
      <w:r>
        <w:rPr>
          <w:rStyle w:val="CharStyle20"/>
        </w:rPr>
        <w:t xml:space="preserve">Действителен с 11.12.2025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06.03.2027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10028555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2026-22558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50000000000001pt;margin-top:789.64999999999998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2026-22558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22630" cy="10668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2026-22558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6.899999999999999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2026-22558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445770</wp:posOffset>
              </wp:positionV>
              <wp:extent cx="5778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35000000000002pt;margin-top:35.100000000000001pt;width:4.5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Picture caption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Heading #1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5">
    <w:name w:val="Body text (4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5">
    <w:name w:val="Heading #1"/>
    <w:basedOn w:val="Normal"/>
    <w:link w:val="CharStyle16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spacing w:line="266" w:lineRule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