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377825" distL="114300" distR="114300" simplePos="0" relativeHeight="125829378" behindDoc="0" locked="0" layoutInCell="1" allowOverlap="1">
                <wp:simplePos x="0" y="0"/>
                <wp:positionH relativeFrom="page">
                  <wp:posOffset>748030</wp:posOffset>
                </wp:positionH>
                <wp:positionV relativeFrom="paragraph">
                  <wp:posOffset>12700</wp:posOffset>
                </wp:positionV>
                <wp:extent cx="2706370" cy="31121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3112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8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Федеральной антимонопольной службы</w:t>
                              <w:br/>
                              <w:t>по Калужской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9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>пл. Старый Торг, 5, г. Калуга, 248000</w:t>
                              <w:br/>
                              <w:t>тел. (4842) 57-65-92, факс (4828) 57-65-92</w:t>
                              <w:br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"mailto:to40@fas.gov.ru"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to40@fas.gov.ru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3.05.2026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0"/>
                                <w:sz w:val="30"/>
                                <w:szCs w:val="30"/>
                              </w:rPr>
                              <w:t>№ МЧ/2718/26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8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8.899999999999999pt;margin-top:1.pt;width:213.09999999999999pt;height:245.05000000000001pt;z-index:-125829375;mso-wrap-distance-left:9.pt;mso-wrap-distance-right:9.pt;mso-wrap-distance-bottom:29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8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sz w:val="17"/>
                          <w:szCs w:val="17"/>
                        </w:rPr>
                        <w:t>Федеральной антимонопольной службы</w:t>
                        <w:br/>
                        <w:t>по Калужской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98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>пл. Старый Торг, 5, г. Калуга, 248000</w:t>
                        <w:br/>
                        <w:t>тел. (4842) 57-65-92, факс (4828) 57-65-92</w:t>
                        <w:br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"mailto:to40@fas.gov.ru"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to40@fas.gov.ru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10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3.05.2026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0"/>
                          <w:sz w:val="30"/>
                          <w:szCs w:val="30"/>
                        </w:rPr>
                        <w:t>№ МЧ/2718/26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8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273425" distB="0" distL="160020" distR="1918335" simplePos="0" relativeHeight="125829380" behindDoc="0" locked="0" layoutInCell="1" allowOverlap="1">
                <wp:simplePos x="0" y="0"/>
                <wp:positionH relativeFrom="page">
                  <wp:posOffset>793750</wp:posOffset>
                </wp:positionH>
                <wp:positionV relativeFrom="paragraph">
                  <wp:posOffset>3286125</wp:posOffset>
                </wp:positionV>
                <wp:extent cx="856615" cy="2165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решение 518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2.5pt;margin-top:258.75pt;width:67.450000000000003pt;height:17.050000000000001pt;z-index:-125829373;mso-wrap-distance-left:12.6pt;mso-wrap-distance-top:257.75pt;mso-wrap-distance-right:151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решение 518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402590" distB="0" distL="114300" distR="114300" simplePos="0" relativeHeight="125829382" behindDoc="0" locked="0" layoutInCell="1" allowOverlap="1">
            <wp:simplePos x="0" y="0"/>
            <wp:positionH relativeFrom="page">
              <wp:posOffset>741680</wp:posOffset>
            </wp:positionH>
            <wp:positionV relativeFrom="paragraph">
              <wp:posOffset>9403080</wp:posOffset>
            </wp:positionV>
            <wp:extent cx="1517650" cy="29273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9000490</wp:posOffset>
                </wp:positionV>
                <wp:extent cx="701040" cy="2527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1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г. Калуга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1.5pt;margin-top:708.70000000000005pt;width:55.200000000000003pt;height:19.9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</w:rPr>
                        <w:t>г. Калуга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40" w:right="0" w:firstLine="0"/>
        <w:jc w:val="left"/>
      </w:pPr>
      <w:r>
        <w:rPr>
          <w:rStyle w:val="CharStyle10"/>
        </w:rPr>
        <w:t xml:space="preserve">АО «Сбербанк - АСТ» пер. Большой Саввинский, д. 12, стр. 9, г. Москва, 119435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0"/>
          <w:lang w:val="en-US" w:eastAsia="en-US"/>
        </w:rPr>
        <w:t>ko@sberbank-ast.ru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0"/>
        <w:jc w:val="left"/>
      </w:pPr>
      <w:r>
        <w:rPr>
          <w:rStyle w:val="CharStyle10"/>
        </w:rPr>
        <w:t>Администрация Жуковского Муниципального округа Калужской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0"/>
        <w:jc w:val="left"/>
      </w:pPr>
      <w:r>
        <w:rPr>
          <w:rStyle w:val="CharStyle10"/>
        </w:rPr>
        <w:t>ул. Гурьянова, д.31, г.Жуков, Калужская обл., 249191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40"/>
        <w:jc w:val="left"/>
      </w:pPr>
      <w:r>
        <w:fldChar w:fldCharType="begin"/>
      </w:r>
      <w:r>
        <w:rPr/>
        <w:instrText> HYPERLINK "mailto:azhuk_org@adm.kaluga.ru" </w:instrText>
      </w:r>
      <w:r>
        <w:fldChar w:fldCharType="separate"/>
      </w:r>
      <w:r>
        <w:rPr>
          <w:rStyle w:val="CharStyle10"/>
          <w:lang w:val="en-US" w:eastAsia="en-US"/>
        </w:rPr>
        <w:t>azhuk_org@adm.kaluga.ru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0"/>
        <w:jc w:val="left"/>
      </w:pPr>
      <w:r>
        <w:rPr>
          <w:rStyle w:val="CharStyle10"/>
        </w:rPr>
        <w:t>ИП БИНДЮКОВ НИКОЛАЙ ВЛАДИМИРОВИЧ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rStyle w:val="CharStyle10"/>
        </w:rPr>
        <w:t xml:space="preserve">248000, КАЛУЖСКАЯ ОБЛАСТЬ, г.о. ГОРОД КАЛУГА, Г. КАЛУГА, УЛ. ТУЛЬСКАЯ, Д. 4, КВ. 15 </w:t>
      </w:r>
      <w:r>
        <w:fldChar w:fldCharType="begin"/>
      </w:r>
      <w:r>
        <w:rPr/>
        <w:instrText> HYPERLINK "mailto:bnv064@mail.ru" </w:instrText>
      </w:r>
      <w:r>
        <w:fldChar w:fldCharType="separate"/>
      </w:r>
      <w:r>
        <w:rPr>
          <w:rStyle w:val="CharStyle10"/>
          <w:lang w:val="en-US" w:eastAsia="en-US"/>
        </w:rPr>
        <w:t>bnv064@mail.ru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МУНИЦИПАЛЬНОЕ ОБЩЕОБРАЗОВАТЕЛЬНОЕ УЧРЕЖДЕНИЕ "СРЕДНЯЯ ОБЩЕОБРАЗОВАТЕЛЬНАЯ ШКОЛА ИМЕНИ ГЕНЕРАЛА ЗАХАРКИНА И.Г.", Г. КРЕМЁНКИ ЖУКОВСКОГО МУНИЦИПАЛЬНОГО ОКРУГА КАЛУЖСКОЙ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0"/>
        </w:rPr>
        <w:t>249185, КАЛУЖСКАЯ ОБЛАСТЬ, м.о. ЖУКОВСКИЙ, Г. КРЕМЕНКИ, УЛ.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5320" w:right="0" w:firstLine="0"/>
        <w:jc w:val="left"/>
      </w:pPr>
      <w:r>
        <w:rPr>
          <w:rStyle w:val="CharStyle10"/>
        </w:rPr>
        <w:t>ШКОЛЬНАЯ, Д. 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40" w:right="0" w:firstLine="0"/>
        <w:jc w:val="left"/>
      </w:pPr>
      <w:r>
        <w:rPr>
          <w:rStyle w:val="CharStyle10"/>
          <w:b/>
          <w:bCs/>
        </w:rPr>
        <w:t>Р Е Ш Е Н И 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0"/>
          <w:b/>
          <w:bCs/>
        </w:rPr>
        <w:t>Комиссии по контролю в сфере закупок товаров, работ, услуг для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обеспечения государственных и муниципальных нужд Калужского УФАС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720" w:firstLine="0"/>
        <w:jc w:val="right"/>
      </w:pPr>
      <w:r>
        <w:rPr>
          <w:rStyle w:val="CharStyle10"/>
        </w:rPr>
        <w:t>«13» мая 2026 года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 xml:space="preserve">Резолютивная часть решения оглашена </w:t>
      </w:r>
      <w:r>
        <w:rPr>
          <w:rStyle w:val="CharStyle10"/>
          <w:lang w:val="en-US" w:eastAsia="en-US"/>
        </w:rPr>
        <w:t xml:space="preserve">«07»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 xml:space="preserve">В полном объеме решение изготовлено </w:t>
      </w:r>
      <w:r>
        <w:rPr>
          <w:rStyle w:val="CharStyle10"/>
          <w:lang w:val="en-US" w:eastAsia="en-US"/>
        </w:rPr>
        <w:t xml:space="preserve">«13»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580"/>
        <w:jc w:val="both"/>
      </w:pPr>
      <w:r>
        <w:rPr>
          <w:rStyle w:val="CharStyle10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90500" distR="190500" simplePos="0" relativeHeight="125829383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130935" cy="10699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1069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Васильев А.А.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.pt;width:89.049999999999997pt;height:84.25pt;z-index:-125829370;mso-wrap-distance-left:15.pt;mso-wrap-distance-right:15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Чуриков М.А.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Магер А.А.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Васильев А.А.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0"/>
        </w:rPr>
        <w:t xml:space="preserve">председатель комиссии, заместитель руководителя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начальник отдела Калужского УФАС России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член комиссии, заместитель руководителя Калужского УФАС России,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член комиссии, заместитель начальника отдела Калужского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при участии посредством видеоконференцсвязи: представителя заказчика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директора МОУ «СОШ им. генерала Захаркина И.Г.» Байновой И.В. (приказ, паспорт), представителя специализированной организации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БСУ «Фонд имущества Калужской области» Лукьяновой Т.А. (доверенность, паспорт), в отсутствии надлежащим образом уведомленного о дате и времени рассмотрения жалобы ИП Биндюкова Н.В.,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рассмотрев посредством видеоконференцсвязи жалобу </w:t>
      </w:r>
      <w:r>
        <w:rPr>
          <w:rStyle w:val="CharStyle10"/>
          <w:lang w:val="en-US" w:eastAsia="en-US"/>
        </w:rPr>
        <w:t xml:space="preserve">№040/06/105-518/2026 </w:t>
      </w:r>
      <w:r>
        <w:rPr>
          <w:rStyle w:val="CharStyle10"/>
        </w:rPr>
        <w:t xml:space="preserve">ИП Биндюкова Н.В. по существу, </w:t>
      </w:r>
      <w:r>
        <w:rPr>
          <w:rStyle w:val="CharStyle10"/>
          <w:b/>
          <w:bCs/>
        </w:rPr>
        <w:t>установила</w:t>
      </w:r>
      <w:r>
        <w:rPr>
          <w:rStyle w:val="CharStyle10"/>
        </w:rPr>
        <w:t>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30.04.2026г. в адрес Калужского УФАС России поступила жалоба ИП Биндюкова Н.В. на положения извещения об осуществлении закупки при проведении аукциона в электронной форме (номер извещения на официальном сайте </w:t>
      </w:r>
      <w:r>
        <w:rPr>
          <w:rStyle w:val="CharStyle10"/>
          <w:lang w:val="en-US" w:eastAsia="en-US"/>
        </w:rPr>
        <w:t xml:space="preserve">0137600004926000095), </w:t>
      </w:r>
      <w:r>
        <w:rPr>
          <w:rStyle w:val="CharStyle10"/>
        </w:rPr>
        <w:t xml:space="preserve">предметом которого является текущий ремонт кабинетов </w:t>
      </w:r>
      <w:r>
        <w:rPr>
          <w:rStyle w:val="CharStyle10"/>
          <w:lang w:val="en-US" w:eastAsia="en-US"/>
        </w:rPr>
        <w:t xml:space="preserve">№ 311-312,334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Аукцион).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Заявитель полагает, что извещение об осуществлении закупки, не соответствует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Заказчиком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Изучив представленные документы, с учетом доводов сторон, руководствуясь Законом о контрактной системе, проведя внеплановую проверку 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системе, Комиссия Калужского УФАС России приходит к следующему.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23.04.2026г. на официальном сайте Единой информационной системы в сфере закупок </w:t>
      </w:r>
      <w:r>
        <w:rPr>
          <w:rStyle w:val="CharStyle10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0"/>
          <w:lang w:val="en-US" w:eastAsia="en-US"/>
        </w:rPr>
        <w:t>www.zakupki.gov.ru</w:t>
      </w:r>
      <w:r>
        <w:fldChar w:fldCharType="end"/>
      </w:r>
      <w:r>
        <w:rPr>
          <w:rStyle w:val="CharStyle10"/>
          <w:lang w:val="en-US" w:eastAsia="en-US"/>
        </w:rPr>
        <w:t xml:space="preserve">; </w:t>
      </w:r>
      <w:r>
        <w:rPr>
          <w:rStyle w:val="CharStyle10"/>
        </w:rPr>
        <w:t xml:space="preserve">далее также официальный сайт, ЕИС) опубликовано извещение </w:t>
      </w:r>
      <w:r>
        <w:rPr>
          <w:rStyle w:val="CharStyle10"/>
          <w:lang w:val="en-US" w:eastAsia="en-US"/>
        </w:rPr>
        <w:t xml:space="preserve">№0137600004926000095, </w:t>
      </w:r>
      <w:r>
        <w:rPr>
          <w:rStyle w:val="CharStyle10"/>
        </w:rPr>
        <w:t xml:space="preserve">предметом которого является текущий ремонт кабинетов </w:t>
      </w:r>
      <w:r>
        <w:rPr>
          <w:rStyle w:val="CharStyle10"/>
          <w:lang w:val="en-US" w:eastAsia="en-US"/>
        </w:rPr>
        <w:t>№ 311-312,334.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Начальная (максимальная) цена контракта, согласно извещению о проведении закупки, составляет </w:t>
      </w:r>
      <w:r>
        <w:rPr>
          <w:rStyle w:val="CharStyle10"/>
          <w:lang w:val="en-US" w:eastAsia="en-US"/>
        </w:rPr>
        <w:t xml:space="preserve">2 199 207,40 </w:t>
      </w:r>
      <w:r>
        <w:rPr>
          <w:rStyle w:val="CharStyle10"/>
        </w:rPr>
        <w:t>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580"/>
        <w:jc w:val="both"/>
      </w:pPr>
      <w:r>
        <w:rPr>
          <w:rStyle w:val="CharStyle10"/>
        </w:rPr>
        <w:t xml:space="preserve">Дата и время окончания срока подачи заявок на участие в закупке: </w:t>
      </w:r>
      <w:r>
        <w:rPr>
          <w:rStyle w:val="CharStyle10"/>
          <w:lang w:val="en-US" w:eastAsia="en-US"/>
        </w:rPr>
        <w:t>04.05.2026 08 00.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Заказчиком по указанной закупке выступало МОУ «СОШ им. генерала Захаркина И.Г.».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Согласно доводам жалобы Заявителя, Заказчиком нарушены положения закона о контрактной системе, а именно: необоснованное завышение объёмов работ по ремонту штукатурки стен; отсутствие в смете работ по шпаклевке стен перед окраской; отсутствие выравнивающего слоя (наливного пола </w:t>
      </w:r>
      <w:r>
        <w:rPr>
          <w:rStyle w:val="CharStyle10"/>
          <w:lang w:val="en-US" w:eastAsia="en-US"/>
        </w:rPr>
        <w:t xml:space="preserve">/ </w:t>
      </w:r>
      <w:r>
        <w:rPr>
          <w:rStyle w:val="CharStyle10"/>
        </w:rPr>
        <w:t>финишной стяжки) под укладку линолеума.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соответствии с пунктами </w:t>
      </w:r>
      <w:r>
        <w:rPr>
          <w:rStyle w:val="CharStyle10"/>
          <w:lang w:val="en-US" w:eastAsia="en-US"/>
        </w:rPr>
        <w:t xml:space="preserve">1, 3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05.04.2013 № 44- </w:t>
      </w:r>
      <w:r>
        <w:rPr>
          <w:rStyle w:val="CharStyle10"/>
        </w:rPr>
        <w:t>ФЗ установлено, что Заказчик в случаях, предусмотренных настоящим Федеральным законом, при описании объекта закупки должен руководствоваться, в частности, следующими правилами: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сопровождение такого указания словами "или эквивалент";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его формирования утверждаются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 xml:space="preserve">Закона о контрактной системе установлено, что документация о закупке в соответствии с требованиями, указанными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Согласно 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При описании объекта закупки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Из буквального толкования вышеприведенных положений Закона о контрактной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системе следует, что Заказчики, осуществляющие закупку по правилам Закона о контрактной системе, при описании объекта закупки должны таким образом 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Согласно письменным пояснениям Заказчика: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в локально сметном расчете применена расценка ГЭСНр </w:t>
      </w:r>
      <w:r>
        <w:rPr>
          <w:rStyle w:val="CharStyle10"/>
          <w:lang w:val="en-US" w:eastAsia="en-US"/>
        </w:rPr>
        <w:t xml:space="preserve">61- 01- 002- 11 </w:t>
      </w:r>
      <w:r>
        <w:rPr>
          <w:rStyle w:val="CharStyle10"/>
        </w:rPr>
        <w:t xml:space="preserve">Ремонт штукатурки внутренних стен по камню и бетону цементно-известковым раствором, площадью отдельных мест: более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 xml:space="preserve">м2 толщиной слоя до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>мм. Применение данной расценки обусловлено наличием бюджетных средств, позволяющих не занижая фактических объемов работ и не завышая сметную стоимость работ другими расценками, выполнить работы качественно.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в локально сметном расчете применена расценка ГЭСН15-04-005-03 Окраска поливинилацетатными водоэмульсионными составами улучшенная: по штукатурке стен. Сметные нормы сборника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предназначены для определения затрат на полный комплекс отделочных работ, включая подготовку поверхностей и окраску. В ресурсной части расценки учтены необходимые материалы: расход ресурса «Шпатлёвка клеевая» включает первую сплошную шпатлёвку, а «Краска водоэмульсионная»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окраску. Дополнительные материалы (например, грунтовка) в этой расценке не требуются. ГЭСН </w:t>
      </w:r>
      <w:r>
        <w:rPr>
          <w:rStyle w:val="CharStyle10"/>
          <w:lang w:val="en-US" w:eastAsia="en-US"/>
        </w:rPr>
        <w:t xml:space="preserve">15-04-005-03 </w:t>
      </w:r>
      <w:r>
        <w:rPr>
          <w:rStyle w:val="CharStyle10"/>
        </w:rPr>
        <w:t>разработана с учётом среднеотраслевого оптимального уровня строительного производства, техники и технологии выполнения работ. Нормы разработаны на основе принципа усреднения с минимизацией расходов всех необходимых ресурсов для определения сметной стоимости.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в локально сметном расчете применена расценка ГЭСН11-01-011-03 Устройство стяжек: бетонных толщиной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мм., и ГЭСН11-01-011-04 Устройство стяжек: на каждые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мм. изменения толщины стяжки добавлять или исключать к норме </w:t>
      </w:r>
      <w:r>
        <w:rPr>
          <w:rStyle w:val="CharStyle10"/>
          <w:lang w:val="en-US" w:eastAsia="en-US"/>
        </w:rPr>
        <w:t xml:space="preserve">11-01-011-03 </w:t>
      </w:r>
      <w:r>
        <w:rPr>
          <w:rStyle w:val="CharStyle10"/>
        </w:rPr>
        <w:t xml:space="preserve">(добавляем до толщ.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>мм.).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 xml:space="preserve">Согласно СП </w:t>
      </w:r>
      <w:r>
        <w:rPr>
          <w:rStyle w:val="CharStyle10"/>
          <w:lang w:val="en-US" w:eastAsia="en-US"/>
        </w:rPr>
        <w:t xml:space="preserve">29.13330.2011 </w:t>
      </w:r>
      <w:r>
        <w:rPr>
          <w:rStyle w:val="CharStyle10"/>
        </w:rPr>
        <w:t xml:space="preserve">«Полы» (актуализированная редакция СНиП </w:t>
      </w:r>
      <w:r>
        <w:rPr>
          <w:rStyle w:val="CharStyle10"/>
          <w:lang w:val="en-US" w:eastAsia="en-US"/>
        </w:rPr>
        <w:t xml:space="preserve">2.03.13-88), </w:t>
      </w:r>
      <w:r>
        <w:rPr>
          <w:rStyle w:val="CharStyle10"/>
        </w:rPr>
        <w:t xml:space="preserve">что укладка линолеума на стяжку с клеевой основой без применения (наливного пола </w:t>
      </w:r>
      <w:r>
        <w:rPr>
          <w:rStyle w:val="CharStyle10"/>
          <w:lang w:val="en-US" w:eastAsia="en-US"/>
        </w:rPr>
        <w:t xml:space="preserve">/ </w:t>
      </w:r>
      <w:r>
        <w:rPr>
          <w:rStyle w:val="CharStyle10"/>
        </w:rPr>
        <w:t xml:space="preserve">финишной стяжки) возможна, для этого существуют три способа: </w:t>
      </w:r>
      <w:r>
        <w:rPr>
          <w:rStyle w:val="CharStyle10"/>
          <w:lang w:val="en-US" w:eastAsia="en-US"/>
        </w:rPr>
        <w:t xml:space="preserve">1. </w:t>
      </w:r>
      <w:r>
        <w:rPr>
          <w:rStyle w:val="CharStyle10"/>
        </w:rPr>
        <w:t xml:space="preserve">Мокрая стяжка </w:t>
      </w:r>
      <w:r>
        <w:rPr>
          <w:rStyle w:val="CharStyle10"/>
          <w:lang w:val="en-US" w:eastAsia="en-US"/>
        </w:rPr>
        <w:t xml:space="preserve">2. </w:t>
      </w:r>
      <w:r>
        <w:rPr>
          <w:rStyle w:val="CharStyle10"/>
        </w:rPr>
        <w:t xml:space="preserve">Сухая стяжка </w:t>
      </w:r>
      <w:r>
        <w:rPr>
          <w:rStyle w:val="CharStyle10"/>
          <w:lang w:val="en-US" w:eastAsia="en-US"/>
        </w:rPr>
        <w:t xml:space="preserve">3. </w:t>
      </w:r>
      <w:r>
        <w:rPr>
          <w:rStyle w:val="CharStyle10"/>
        </w:rPr>
        <w:t xml:space="preserve">Полусухая стяжка Ни в одном из способов (наливного пола </w:t>
      </w:r>
      <w:r>
        <w:rPr>
          <w:rStyle w:val="CharStyle10"/>
          <w:lang w:val="en-US" w:eastAsia="en-US"/>
        </w:rPr>
        <w:t xml:space="preserve">/ </w:t>
      </w:r>
      <w:r>
        <w:rPr>
          <w:rStyle w:val="CharStyle10"/>
        </w:rPr>
        <w:t>финишной стяжки) не применяется и качество выполненных работ не ухудшается.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Таким образом, в Извещении аукциона установлены требования, которые в наибольшей степени удовлетворяющие потребности Заказчика и соответствуют его целям и задачам.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Отсутствие у каких-либо лиц, заинтересованных в заключении контракта, возможности его исполнения, не свидетельствует о нарушении Заказчиком прав этих лиц, а также об ограничении Заказчиком числа участников закупки. Доказательств ограничения возможности потенциальным участникам закупки формирования и подачи заявки на участие в аукционе в материалы дела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0"/>
        </w:rPr>
        <w:t>На основании вышеизложенного, Комиссия Калужского УФАС России приходит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к выводу о необоснованности доводов жалобы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  <w:lang w:val="en-US" w:eastAsia="en-US"/>
        </w:rPr>
        <w:t xml:space="preserve">3. </w:t>
      </w:r>
      <w:r>
        <w:rPr>
          <w:rStyle w:val="CharStyle10"/>
        </w:rPr>
        <w:t>В жалобе Заявитель указывает на необходимость проведения проверки обоснования НМЦК рассматриваемой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связи с тем, что в соответствии со статьей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 контроль в отношении определения и обоснования начальной (максимальной) цены контракта осуществляется органами внутреннего государственного (муниципального) финансового контроля, Калужское УФАС России приходит к выводу о необходимости передачи материалов жалобы в Администрацию Жуковского МО Калужской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0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99, </w:t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 xml:space="preserve">Закона о контрактной системе, Комиссия Калужского УФАС России </w:t>
      </w: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Признать жалобу ИП Биндюкова Н.В. </w:t>
      </w:r>
      <w:r>
        <w:rPr>
          <w:rStyle w:val="CharStyle10"/>
          <w:b/>
          <w:bCs/>
        </w:rPr>
        <w:t>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96" w:val="left"/>
        </w:tabs>
        <w:bidi w:val="0"/>
        <w:spacing w:before="0" w:after="280" w:line="240" w:lineRule="auto"/>
        <w:ind w:left="940" w:right="0" w:hanging="360"/>
        <w:jc w:val="both"/>
      </w:pPr>
      <w:r>
        <w:rPr>
          <w:rStyle w:val="CharStyle10"/>
        </w:rPr>
        <w:t>Передать материалы жалобы в Администрацию Жуковского МО Калужской области.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95" w:right="566" w:bottom="1304" w:left="108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08000" distB="231140" distL="0" distR="0" simplePos="0" relativeHeight="125829385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508000</wp:posOffset>
                </wp:positionV>
                <wp:extent cx="182562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100000000000001pt;margin-top:40.pt;width:143.75pt;height:19.699999999999999pt;z-index:-125829368;mso-wrap-distance-left:0;mso-wrap-distance-top:40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1025" distB="12065" distL="0" distR="1786255" simplePos="0" relativeHeight="125829387" behindDoc="0" locked="0" layoutInCell="1" allowOverlap="1">
            <wp:simplePos x="0" y="0"/>
            <wp:positionH relativeFrom="page">
              <wp:posOffset>2639060</wp:posOffset>
            </wp:positionH>
            <wp:positionV relativeFrom="paragraph">
              <wp:posOffset>581025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3059430</wp:posOffset>
                </wp:positionH>
                <wp:positionV relativeFrom="paragraph">
                  <wp:posOffset>669290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0.90000000000001pt;margin-top:52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0730" distB="0" distL="0" distR="0" simplePos="0" relativeHeight="125829388" behindDoc="0" locked="0" layoutInCell="1" allowOverlap="1">
                <wp:simplePos x="0" y="0"/>
                <wp:positionH relativeFrom="page">
                  <wp:posOffset>6086475</wp:posOffset>
                </wp:positionH>
                <wp:positionV relativeFrom="paragraph">
                  <wp:posOffset>760730</wp:posOffset>
                </wp:positionV>
                <wp:extent cx="1085215" cy="22860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25pt;margin-top:59.899999999999999pt;width:85.450000000000003pt;height:18.pt;z-index:-125829365;mso-wrap-distance-left:0;mso-wrap-distance-top:59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4"/>
          <w:color w:val="FFFFFF"/>
          <w:sz w:val="11"/>
          <w:szCs w:val="11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Чуриков Максим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00CACD61</w:t>
      </w:r>
      <w:r>
        <w:rPr>
          <w:rStyle w:val="CharStyle24"/>
        </w:rPr>
        <w:t>А057Е31</w:t>
      </w:r>
      <w:r>
        <w:rPr>
          <w:rStyle w:val="CharStyle24"/>
          <w:lang w:val="en-US" w:eastAsia="en-US"/>
        </w:rPr>
        <w:t>B9A3D0DC71</w:t>
      </w:r>
      <w:r>
        <w:rPr>
          <w:rStyle w:val="CharStyle24"/>
        </w:rPr>
        <w:t>44ВЗС0В5</w:t>
      </w:r>
      <w:r>
        <w:rPr>
          <w:rStyle w:val="CharStyle24"/>
        </w:rPr>
        <w:t>«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4"/>
        </w:rPr>
        <w:t xml:space="preserve">Действителен с 08.04.2025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02.07.2026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2639060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3059430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0.90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Магер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rStyle w:val="CharStyle24"/>
          <w:color w:val="FFFFFF"/>
          <w:sz w:val="11"/>
          <w:szCs w:val="11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Магер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43F785D30FB94A7A3626FEF2EC4D9803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4"/>
        </w:rPr>
        <w:t xml:space="preserve">Действителен с 21.04.2025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15.07.2026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2608580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3099435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4.05000000000001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3059430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0.90000000000001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Васильев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Васильев Александр Анатольевич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7BF98D842188A4B4C3F8EAD54EE3400B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4"/>
        </w:rPr>
        <w:t xml:space="preserve">Действителен с 09.07.2025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10003790</wp:posOffset>
              </wp:positionV>
              <wp:extent cx="64897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</w:rPr>
                            <w:t>2026-2912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8.899999999999999pt;margin-top:787.70000000000005pt;width:51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</w:rPr>
                      <w:t>2026-2912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748030</wp:posOffset>
              </wp:positionH>
              <wp:positionV relativeFrom="page">
                <wp:posOffset>9928860</wp:posOffset>
              </wp:positionV>
              <wp:extent cx="648970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  <w:lang w:val="ru-RU" w:eastAsia="ru-RU"/>
                            </w:rPr>
                            <w:t>2026-2912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8.899999999999999pt;margin-top:781.80000000000007pt;width:51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  <w:lang w:val="ru-RU" w:eastAsia="ru-RU"/>
                      </w:rPr>
                      <w:t>2026-2912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er or footer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18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8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er or footer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