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Камчатскому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пр-т Карла Маркса, д. 29/2,</w:t>
        <w:br/>
        <w:t>Петропавловск-Камчатский, 683031</w:t>
        <w:br/>
        <w:t xml:space="preserve">тел. </w:t>
      </w:r>
      <w:r>
        <w:rPr>
          <w:rStyle w:val="CharStyle3"/>
          <w:color w:val="737B8C"/>
        </w:rPr>
        <w:t xml:space="preserve">/ </w:t>
      </w:r>
      <w:r>
        <w:rPr>
          <w:rStyle w:val="CharStyle3"/>
        </w:rPr>
        <w:t>факс (499) 755-23-23 доб. 041-100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"mailto:to41@fas.gov.ru" </w:instrText>
      </w:r>
      <w:r>
        <w:fldChar w:fldCharType="separate"/>
      </w:r>
      <w:r>
        <w:rPr>
          <w:rStyle w:val="CharStyle3"/>
          <w:lang w:val="en-US" w:eastAsia="en-US"/>
        </w:rPr>
        <w:t>to41@fas.gov.ru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2"/>
          <w:u w:val="none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  <w:u w:val="none"/>
        </w:rPr>
        <w:t>4.0</w:t>
      </w:r>
      <w:r>
        <w:rPr>
          <w:rStyle w:val="CharStyle12"/>
        </w:rPr>
        <w:t>5.2026</w:t>
      </w:r>
      <w:r>
        <w:rPr>
          <w:rStyle w:val="CharStyle12"/>
          <w:u w:val="none"/>
        </w:rPr>
        <w:tab/>
      </w:r>
      <w:r>
        <w:fldChar w:fldCharType="end"/>
      </w:r>
      <w:r>
        <w:rPr>
          <w:rStyle w:val="CharStyle12"/>
          <w:u w:val="none"/>
        </w:rPr>
        <w:t xml:space="preserve">№ </w:t>
      </w:r>
      <w:r>
        <w:rPr>
          <w:rStyle w:val="CharStyle12"/>
        </w:rPr>
        <w:t>ЕФ/1437/2</w:t>
      </w:r>
      <w:r>
        <w:rPr>
          <w:rStyle w:val="CharStyle12"/>
          <w:u w:val="none"/>
        </w:rPr>
        <w:t>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u w:val="single"/>
        </w:rPr>
        <w:t>Заявитель: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6"/>
        </w:rPr>
        <w:t>ИП Крючков С.С.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u w:val="single"/>
        </w:rPr>
        <w:t>Заказчик: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369" w:right="1199" w:bottom="1217" w:left="1135" w:header="0" w:footer="3" w:gutter="0"/>
          <w:pgNumType w:start="1"/>
          <w:cols w:num="2" w:space="965"/>
          <w:noEndnote/>
          <w:titlePg/>
          <w:rtlGutter w:val="0"/>
          <w:docGrid w:linePitch="360"/>
        </w:sectPr>
      </w:pPr>
      <w:r>
        <w:rPr>
          <w:rStyle w:val="CharStyle16"/>
        </w:rPr>
        <w:t>ГБУЗ КК «Петропавловск-Камчатская городская больница № 1»</w:t>
      </w:r>
    </w:p>
    <w:p>
      <w:pPr>
        <w:widowControl w:val="0"/>
        <w:spacing w:before="100" w:after="10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4" w:right="0" w:bottom="116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6"/>
          <w:sz w:val="24"/>
          <w:szCs w:val="24"/>
        </w:rPr>
        <w:t>О результатах рассмотрения жалобы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rStyle w:val="CharStyle33"/>
          <w:b/>
          <w:bCs/>
        </w:rPr>
        <w:t>РЕШЕНИЕ</w:t>
      </w:r>
      <w:bookmarkEnd w:id="2"/>
    </w:p>
    <w:p>
      <w:pPr>
        <w:pStyle w:val="Style32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bookmarkStart w:id="4" w:name="bookmark4"/>
      <w:r>
        <w:rPr>
          <w:rStyle w:val="CharStyle33"/>
          <w:b/>
          <w:bCs/>
        </w:rPr>
        <w:t>по делу № 041/06/105-312/2026 о нарушении</w:t>
        <w:br/>
        <w:t>законодательства Российской Федерации</w:t>
        <w:br/>
        <w:t>о контрактной системе в сфере закупок</w:t>
      </w:r>
      <w:bookmarkEnd w:id="4"/>
    </w:p>
    <w:p>
      <w:pPr>
        <w:pStyle w:val="Style15"/>
        <w:keepNext w:val="0"/>
        <w:keepLines w:val="0"/>
        <w:widowControl w:val="0"/>
        <w:shd w:val="clear" w:color="auto" w:fill="auto"/>
        <w:tabs>
          <w:tab w:pos="6648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16"/>
        </w:rPr>
        <w:t>12 мая 2026 г.</w:t>
        <w:tab/>
        <w:t>г. Петропавловск-Камчатский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Комиссия Управления Федеральной антимонопольной службы по Камчатскому краю (далее – Камчатское УФАС России) по контролю в сфере закупок и рассмотрению жалоб в порядке, предусмотренном статьей 18.1 Федерального закона от 26.07.2006 № 135-ФЗ «О защите конкуренции» (далее –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председателя Комиссии – руководителя Камчатского УФАС России Фисенко Е.В., членов Комиссии: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начальника отдела контроля закупок Шихановой Л.Б.,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главного специалиста-эксперта отдела контроля закупок Ковалевой С.А.,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при участии представителя заказчика – государственного бюджетного учреждения здравоохранения Камчатского края «Петропавловск-Камчатская городская больница № 1» (далее – Заказчик) Жигулиной М.А. (по доверенности от 08.05.2026, б/н),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w:rPr>
          <w:rStyle w:val="CharStyle16"/>
        </w:rPr>
        <w:t xml:space="preserve">в отсутствие заявителя – индивидуального предпринимателя Крючкова С.С. (далее – Заявитель), уведомленного о времени и месте рассмотрения жалобы через ЕИС, осуществив посредством видеоконференцсвязи рассмотрение жалобы Заявителя на действия комиссии по осуществлению закупок Заказчика при осуществлении запроса котировок в электронной форме на поставку принадлежностей для анализатора СОЭ (извещение № </w:t>
      </w:r>
      <w:r>
        <w:fldChar w:fldCharType="begin"/>
      </w:r>
      <w:r>
        <w:rPr/>
        <w:instrText> HYPERLINK "https://zakupki.gov.ru/epz/order/notice/zk20/view/common-info.html?regNumber=0338300004626000093" </w:instrText>
      </w:r>
      <w:r>
        <w:fldChar w:fldCharType="separate"/>
      </w:r>
      <w:r>
        <w:rPr>
          <w:rStyle w:val="CharStyle16"/>
          <w:color w:val="000080"/>
          <w:u w:val="single"/>
        </w:rPr>
        <w:t>0338300004626000093</w:t>
      </w:r>
      <w:r>
        <w:fldChar w:fldCharType="end"/>
      </w:r>
      <w:r>
        <w:rPr>
          <w:rStyle w:val="CharStyle16"/>
        </w:rPr>
        <w:t>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</w:t>
      </w:r>
    </w:p>
    <w:p>
      <w:pPr>
        <w:pStyle w:val="Style3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" w:name="bookmark6"/>
      <w:r>
        <w:rPr>
          <w:rStyle w:val="CharStyle36"/>
        </w:rPr>
        <w:t>1IIIIIIIIIIIIIIIIIIIIIII</w:t>
      </w:r>
      <w:bookmarkEnd w:id="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6"/>
        </w:rPr>
        <w:t xml:space="preserve">государственных и муниципальных нужд»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Закон о контрактной системе),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8" w:name="bookmark8"/>
      <w:r>
        <w:rPr>
          <w:rStyle w:val="CharStyle33"/>
          <w:b/>
          <w:bCs/>
        </w:rPr>
        <w:t>УСТАНОВИЛА</w:t>
      </w:r>
      <w:r>
        <w:rPr>
          <w:rStyle w:val="CharStyle33"/>
        </w:rPr>
        <w:t>:</w:t>
      </w:r>
      <w:bookmarkEnd w:id="8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Заказчиком проводилась процедура определения поставщика путем запроса котировок в электронной форме на поставку принадлежностей для анализатора СОЭ (извещение </w:t>
      </w:r>
      <w:r>
        <w:rPr>
          <w:rStyle w:val="CharStyle16"/>
          <w:lang w:val="en-US" w:eastAsia="en-US"/>
        </w:rPr>
        <w:t xml:space="preserve">№ </w:t>
      </w:r>
      <w:r>
        <w:fldChar w:fldCharType="begin"/>
      </w:r>
      <w:r>
        <w:rPr/>
        <w:instrText> HYPERLINK "https://zakupki.gov.ru/epz/order/notice/zk20/view/common-info.html?regNumber=0338300004626000093" </w:instrText>
      </w:r>
      <w:r>
        <w:fldChar w:fldCharType="separate"/>
      </w:r>
      <w:r>
        <w:rPr>
          <w:rStyle w:val="CharStyle16"/>
          <w:color w:val="000080"/>
          <w:u w:val="single"/>
          <w:lang w:val="en-US" w:eastAsia="en-US"/>
        </w:rPr>
        <w:t>0338300004626000093</w:t>
      </w:r>
      <w:r>
        <w:fldChar w:fldCharType="end"/>
      </w:r>
      <w:r>
        <w:rPr>
          <w:rStyle w:val="CharStyle16"/>
          <w:lang w:val="en-US" w:eastAsia="en-US"/>
        </w:rPr>
        <w:t xml:space="preserve">) </w:t>
      </w:r>
      <w:r>
        <w:rPr>
          <w:rStyle w:val="CharStyle16"/>
        </w:rPr>
        <w:t xml:space="preserve">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Закупка).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Извещение с приложением электронных документов размещено в Единой информационной системе (ЕИС) </w:t>
      </w:r>
      <w:r>
        <w:rPr>
          <w:rStyle w:val="CharStyle16"/>
          <w:lang w:val="en-US" w:eastAsia="en-US"/>
        </w:rPr>
        <w:t>21.04.2026.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16"/>
        </w:rPr>
        <w:t xml:space="preserve">Начальная (максимальная) цена контракта (НМЦК) установлена в размере </w:t>
      </w:r>
      <w:r>
        <w:rPr>
          <w:rStyle w:val="CharStyle16"/>
          <w:lang w:val="en-US" w:eastAsia="en-US"/>
        </w:rPr>
        <w:t xml:space="preserve">1 266 </w:t>
      </w:r>
      <w:r>
        <w:rPr>
          <w:rStyle w:val="CharStyle16"/>
          <w:sz w:val="24"/>
          <w:szCs w:val="24"/>
          <w:lang w:val="en-US" w:eastAsia="en-US"/>
        </w:rPr>
        <w:t xml:space="preserve">666,65 </w:t>
      </w:r>
      <w:r>
        <w:rPr>
          <w:rStyle w:val="CharStyle16"/>
          <w:sz w:val="24"/>
          <w:szCs w:val="24"/>
        </w:rPr>
        <w:t>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извещении установлено ограничение в соответствии с Постановлением Правительства РФ от </w:t>
      </w:r>
      <w:r>
        <w:rPr>
          <w:rStyle w:val="CharStyle16"/>
          <w:lang w:val="en-US" w:eastAsia="en-US"/>
        </w:rPr>
        <w:t xml:space="preserve">23.12.2024 № 1875 </w:t>
      </w:r>
      <w:r>
        <w:rPr>
          <w:rStyle w:val="CharStyle16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протоколом определения победителя по закупке, заявка Заявителя отклонена на основании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 xml:space="preserve">Закона о контрактной системе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пунктами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 xml:space="preserve">Закона о контрактной системе): Участником закупки в составе заявки не предоставлены информация документы, предусмотренные подпунктом «в» пункта </w:t>
      </w:r>
      <w:r>
        <w:rPr>
          <w:rStyle w:val="CharStyle16"/>
          <w:lang w:val="en-US" w:eastAsia="en-US"/>
        </w:rPr>
        <w:t xml:space="preserve">3.1.2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III </w:t>
      </w:r>
      <w:r>
        <w:rPr>
          <w:rStyle w:val="CharStyle16"/>
        </w:rPr>
        <w:t xml:space="preserve">к извещению для транспондера для анализатора измерения скорости оседания эритроцитов (СОЭ)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копия действующего регистрационного удостоверения медицинского изделия ИЛИ реквизиты регистрационного удостоверения </w:t>
      </w:r>
      <w:r>
        <w:rPr>
          <w:rStyle w:val="CharStyle16"/>
          <w:lang w:val="en-US" w:eastAsia="en-US"/>
        </w:rPr>
        <w:t xml:space="preserve">(№, </w:t>
      </w:r>
      <w:r>
        <w:rPr>
          <w:rStyle w:val="CharStyle16"/>
        </w:rPr>
        <w:t xml:space="preserve">дата) ИЛИ выписка из ГРМИ, выданная Росздравнадзором в соответствии с требованиями постановления Правительства РФ от </w:t>
      </w:r>
      <w:r>
        <w:rPr>
          <w:rStyle w:val="CharStyle16"/>
          <w:lang w:val="en-US" w:eastAsia="en-US"/>
        </w:rPr>
        <w:t>30.09.2021 №1650.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6"/>
          <w:lang w:val="en-US" w:eastAsia="en-US"/>
        </w:rPr>
        <w:t xml:space="preserve">04.05.2026 </w:t>
      </w:r>
      <w:r>
        <w:rPr>
          <w:rStyle w:val="CharStyle16"/>
        </w:rPr>
        <w:t>в Камчатское УФАС России поступила жалоба Заявителя на действия комиссии по осуществлению закупок Заказчика. В жалобе Заявитель указывает, что его заявка была отклонена необоснованно.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возражениях от </w:t>
      </w:r>
      <w:r>
        <w:rPr>
          <w:rStyle w:val="CharStyle16"/>
          <w:lang w:val="en-US" w:eastAsia="en-US"/>
        </w:rPr>
        <w:t xml:space="preserve">08.05.2026 № 591 </w:t>
      </w:r>
      <w:r>
        <w:rPr>
          <w:rStyle w:val="CharStyle16"/>
        </w:rPr>
        <w:t xml:space="preserve">Заказчик сообщил следующее: «В описании объекта закупки заказчиком установлены требования к закупаемому товару: полная совместимость с анализатором измерения скорости оседания эритроцитов (СОЭ) </w:t>
      </w:r>
      <w:r>
        <w:rPr>
          <w:rStyle w:val="CharStyle16"/>
          <w:lang w:val="en-US" w:eastAsia="en-US"/>
        </w:rPr>
        <w:t xml:space="preserve">CUBE 30 TOUCH </w:t>
      </w:r>
      <w:r>
        <w:rPr>
          <w:rStyle w:val="CharStyle16"/>
        </w:rPr>
        <w:t xml:space="preserve">(КУБ </w:t>
      </w:r>
      <w:r>
        <w:rPr>
          <w:rStyle w:val="CharStyle16"/>
          <w:lang w:val="en-US" w:eastAsia="en-US"/>
        </w:rPr>
        <w:t xml:space="preserve">30 </w:t>
      </w:r>
      <w:r>
        <w:rPr>
          <w:rStyle w:val="CharStyle16"/>
        </w:rPr>
        <w:t>ТАЧ) (производитель «ДИЕССЕ) Диагностика Сенезе С.п.А»).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Участник закупки предоставил следующие сведения о конкретных показателях товара: «Количество добавляемых тестов </w:t>
      </w:r>
      <w:r>
        <w:rPr>
          <w:rStyle w:val="CharStyle16"/>
          <w:lang w:val="en-US" w:eastAsia="en-US"/>
        </w:rPr>
        <w:t xml:space="preserve">– 5000 </w:t>
      </w:r>
      <w:r>
        <w:rPr>
          <w:rStyle w:val="CharStyle16"/>
        </w:rPr>
        <w:t xml:space="preserve">(ШТ)», но в указанном участником товаре «Транспондер универсальный </w:t>
      </w:r>
      <w:r>
        <w:rPr>
          <w:rStyle w:val="CharStyle16"/>
          <w:lang w:val="en-US" w:eastAsia="en-US"/>
        </w:rPr>
        <w:t xml:space="preserve">ENTERCAM 10290» </w:t>
      </w:r>
      <w:r>
        <w:rPr>
          <w:rStyle w:val="CharStyle16"/>
        </w:rPr>
        <w:t xml:space="preserve">количество тестов составляет </w:t>
      </w:r>
      <w:r>
        <w:rPr>
          <w:rStyle w:val="CharStyle16"/>
          <w:lang w:val="en-US" w:eastAsia="en-US"/>
        </w:rPr>
        <w:t xml:space="preserve">10 000 </w:t>
      </w:r>
      <w:r>
        <w:rPr>
          <w:rStyle w:val="CharStyle16"/>
        </w:rPr>
        <w:t xml:space="preserve">шт и в предоставленном отчете ФГБУ «ВНИИИМТ» Росздравнадзора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 xml:space="preserve">РД-25-247 от </w:t>
      </w:r>
      <w:r>
        <w:rPr>
          <w:rStyle w:val="CharStyle16"/>
          <w:lang w:val="en-US" w:eastAsia="en-US"/>
        </w:rPr>
        <w:t xml:space="preserve">09.09.2025 </w:t>
      </w:r>
      <w:r>
        <w:rPr>
          <w:rStyle w:val="CharStyle16"/>
        </w:rPr>
        <w:t xml:space="preserve">в технических условиях кода </w:t>
      </w:r>
      <w:r>
        <w:rPr>
          <w:rStyle w:val="CharStyle16"/>
          <w:lang w:val="en-US" w:eastAsia="en-US"/>
        </w:rPr>
        <w:t xml:space="preserve">26.12.30.190-006-67589798-2023 </w:t>
      </w:r>
      <w:r>
        <w:rPr>
          <w:rStyle w:val="CharStyle16"/>
        </w:rPr>
        <w:t xml:space="preserve">нет количества </w:t>
      </w:r>
      <w:r>
        <w:rPr>
          <w:rStyle w:val="CharStyle16"/>
          <w:lang w:val="en-US" w:eastAsia="en-US"/>
        </w:rPr>
        <w:t xml:space="preserve">5000 </w:t>
      </w:r>
      <w:r>
        <w:rPr>
          <w:rStyle w:val="CharStyle16"/>
        </w:rPr>
        <w:t xml:space="preserve">шт. Также согласно этого отчета и информации, указанной в руководстве по эксплуатации указан другой анализатор, а именно </w:t>
      </w:r>
      <w:r>
        <w:rPr>
          <w:rStyle w:val="CharStyle16"/>
          <w:lang w:val="en-US" w:eastAsia="en-US"/>
        </w:rPr>
        <w:t xml:space="preserve">ROLLER 20 PN, </w:t>
      </w:r>
      <w:r>
        <w:rPr>
          <w:rStyle w:val="CharStyle16"/>
        </w:rPr>
        <w:t>что является несоответствием.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6"/>
        </w:rPr>
        <w:t xml:space="preserve">Комиссией установлено, что в заявке Заявитель предлагает к поставке товар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сим- карты ООО «ВДМ Групп» Россия. При этом, информация о наличии регистрационного удостоверения на предлагаемый товар отсутствует. В инструкции по эксплуатации на медицинское изделие Анализатор измерения скорости оседания эритроцитов (СОЭ) </w:t>
      </w:r>
      <w:r>
        <w:rPr>
          <w:rStyle w:val="CharStyle16"/>
          <w:lang w:val="en-US" w:eastAsia="en-US"/>
        </w:rPr>
        <w:t>CUBE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 xml:space="preserve">30 TOUCH </w:t>
      </w:r>
      <w:r>
        <w:rPr>
          <w:rStyle w:val="CharStyle16"/>
        </w:rPr>
        <w:t xml:space="preserve">(КУБ </w:t>
      </w:r>
      <w:r>
        <w:rPr>
          <w:rStyle w:val="CharStyle16"/>
          <w:lang w:val="en-US" w:eastAsia="en-US"/>
        </w:rPr>
        <w:t xml:space="preserve">30 </w:t>
      </w:r>
      <w:r>
        <w:rPr>
          <w:rStyle w:val="CharStyle16"/>
        </w:rPr>
        <w:t xml:space="preserve">ТАЧ) предлагаемая Заявителем смарт-карта не указана в качестве совместимой. Действие регистрационного удостоверения распространяется как на медицинское изделие, так и на изделия, входящие в его состав, а также на его принадлежности. Согласно письму Росздравнадзора от </w:t>
      </w:r>
      <w:r>
        <w:rPr>
          <w:rStyle w:val="CharStyle16"/>
          <w:lang w:val="en-US" w:eastAsia="en-US"/>
        </w:rPr>
        <w:t xml:space="preserve">16.04.2025 № 04-22671/25 </w:t>
      </w:r>
      <w:r>
        <w:rPr>
          <w:rStyle w:val="CharStyle16"/>
        </w:rPr>
        <w:t>совместимость неоригинальных принадлежностей и расходных материалов с медицинскими изделиями определяется только в ходе экспертизы качества, эффективности и безопасности медицинских изделий при процедуре государственной регистрации медицинских изделий.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разъяснению МинПромТорга от </w:t>
      </w:r>
      <w:r>
        <w:rPr>
          <w:rStyle w:val="CharStyle16"/>
          <w:lang w:val="en-US" w:eastAsia="en-US"/>
        </w:rPr>
        <w:t xml:space="preserve">27.12.2024 № </w:t>
      </w:r>
      <w:r>
        <w:rPr>
          <w:rStyle w:val="CharStyle16"/>
        </w:rPr>
        <w:t>ПЕ-14979/19 действие регистрационного удостоверения распространяется как на медицинское изделие, так и на изделия, входящие в его состав, а также на его принадлежности. Принадлежность для медицинского изделия, не поименованная в регистрационном удостоверении и не имеющая самостоятельного регистрационного удостоверения не может использоваться совместно с медицинским изделием.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6"/>
        </w:rPr>
        <w:t xml:space="preserve">Согласно руководству пользователя на Анализатор измерения скорости оседания эритроцитов (СОЭ) </w:t>
      </w:r>
      <w:r>
        <w:rPr>
          <w:rStyle w:val="CharStyle16"/>
          <w:lang w:val="en-US" w:eastAsia="en-US"/>
        </w:rPr>
        <w:t xml:space="preserve">CUBE 30 TOUCH </w:t>
      </w:r>
      <w:r>
        <w:rPr>
          <w:rStyle w:val="CharStyle16"/>
        </w:rPr>
        <w:t xml:space="preserve">(КУБ </w:t>
      </w:r>
      <w:r>
        <w:rPr>
          <w:rStyle w:val="CharStyle16"/>
          <w:lang w:val="en-US" w:eastAsia="en-US"/>
        </w:rPr>
        <w:t xml:space="preserve">30 </w:t>
      </w:r>
      <w:r>
        <w:rPr>
          <w:rStyle w:val="CharStyle16"/>
        </w:rPr>
        <w:t xml:space="preserve">ТАЧ) «Меры безопасности: «Используйте принадлежности произведенные только компанией </w:t>
      </w:r>
      <w:r>
        <w:rPr>
          <w:rStyle w:val="CharStyle16"/>
          <w:lang w:val="en-US" w:eastAsia="en-US"/>
        </w:rPr>
        <w:t xml:space="preserve">«DIESSE Diagnostica Senese S.p.A.», </w:t>
      </w:r>
      <w:r>
        <w:rPr>
          <w:rStyle w:val="CharStyle16"/>
        </w:rPr>
        <w:t>любая неоригинальная часть или принадлежность, используемые в анализаторе могут повредить МИ или привести к неверным результатам анализа».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результате рассмотрения жалобы и осуществления 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Закона о контрактной системе внеплановой проверки Комиссия установила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силу подпункта «а»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49 </w:t>
      </w:r>
      <w:r>
        <w:rPr>
          <w:rStyle w:val="CharStyle16"/>
        </w:rPr>
        <w:t xml:space="preserve"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6"/>
          <w:lang w:val="en-US" w:eastAsia="en-US"/>
        </w:rPr>
        <w:t xml:space="preserve">1 - 8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>данного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частью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непредставления информации и документов, предусмотренных пунктами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31 </w:t>
      </w:r>
      <w:r>
        <w:rPr>
          <w:rStyle w:val="CharStyle16"/>
        </w:rPr>
        <w:t>настоящего Федерального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закона, требованиям, установленным в извещении об осуществлении закупки в соответствии с частями </w:t>
      </w:r>
      <w:r>
        <w:rPr>
          <w:rStyle w:val="CharStyle16"/>
          <w:lang w:val="en-US" w:eastAsia="en-US"/>
        </w:rPr>
        <w:t xml:space="preserve">1.1, 2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2.1 </w:t>
      </w:r>
      <w:r>
        <w:rPr>
          <w:rStyle w:val="CharStyle16"/>
        </w:rPr>
        <w:t xml:space="preserve">(при наличии таких требований) статьи </w:t>
      </w:r>
      <w:r>
        <w:rPr>
          <w:rStyle w:val="CharStyle16"/>
          <w:lang w:val="en-US" w:eastAsia="en-US"/>
        </w:rPr>
        <w:t xml:space="preserve">31 </w:t>
      </w:r>
      <w:r>
        <w:rPr>
          <w:rStyle w:val="CharStyle16"/>
        </w:rPr>
        <w:t>настоящего Федерального закона;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предусмотренных нормативными правовыми актами, принятыми в соответствии со статьей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настоящего Федерального закона (за исключением случаев непредставления информации и документов, предусмотренных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настоящего Федерального закона);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непредставления информации и документов, предусмотренных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частью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настоящего Федерального закона (в случае установления в соответствии со статьей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июня </w:t>
      </w:r>
      <w:r>
        <w:rPr>
          <w:rStyle w:val="CharStyle16"/>
          <w:lang w:val="en-US" w:eastAsia="en-US"/>
        </w:rPr>
        <w:t xml:space="preserve">2018 </w:t>
      </w:r>
      <w:r>
        <w:rPr>
          <w:rStyle w:val="CharStyle16"/>
        </w:rPr>
        <w:t xml:space="preserve">года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>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9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предусмотренных частью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45 </w:t>
      </w:r>
      <w:r>
        <w:rPr>
          <w:rStyle w:val="CharStyle16"/>
        </w:rPr>
        <w:t>настоящего Федерального закона;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выявления недостоверной информации, содержащейся в заявке на участие в закупке;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указания информации о предложении участника закупки, предусмотренном пунктом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или пунктом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со статьей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Закона о контрактной системе,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настоящей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Постановлением Правительства РФ от </w:t>
      </w:r>
      <w:r>
        <w:rPr>
          <w:rStyle w:val="CharStyle16"/>
          <w:lang w:val="en-US" w:eastAsia="en-US"/>
        </w:rPr>
        <w:t xml:space="preserve">23.12.2024 № 1875 </w:t>
      </w:r>
      <w:r>
        <w:rPr>
          <w:rStyle w:val="CharStyle16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Постановление </w:t>
      </w:r>
      <w:r>
        <w:rPr>
          <w:rStyle w:val="CharStyle16"/>
          <w:lang w:val="en-US" w:eastAsia="en-US"/>
        </w:rPr>
        <w:t xml:space="preserve">№ 1875) </w:t>
      </w:r>
      <w:r>
        <w:rPr>
          <w:rStyle w:val="CharStyle16"/>
        </w:rPr>
        <w:t>установлены ограничения для товаров, страной происхождения которых является иностранное государство.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6"/>
        </w:rPr>
        <w:t xml:space="preserve">Согласно пункту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Постановления </w:t>
      </w:r>
      <w:r>
        <w:rPr>
          <w:rStyle w:val="CharStyle16"/>
          <w:lang w:val="en-US" w:eastAsia="en-US"/>
        </w:rPr>
        <w:t xml:space="preserve">№ 1875 </w:t>
      </w:r>
      <w:r>
        <w:rPr>
          <w:rStyle w:val="CharStyle16"/>
        </w:rPr>
        <w:t>информацией и документами, подтверждающими страну происхождения товара для целей настоящего постановления, являются: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6"/>
        </w:rPr>
        <w:t xml:space="preserve">а) для подтверждения происхождения товаров, указанных в позициях </w:t>
      </w:r>
      <w:r>
        <w:rPr>
          <w:rStyle w:val="CharStyle16"/>
          <w:lang w:val="en-US" w:eastAsia="en-US"/>
        </w:rPr>
        <w:t xml:space="preserve">1 - 145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1 </w:t>
      </w:r>
      <w:r>
        <w:rPr>
          <w:rStyle w:val="CharStyle16"/>
        </w:rPr>
        <w:t xml:space="preserve">к настоящему постановлению, позициях </w:t>
      </w:r>
      <w:r>
        <w:rPr>
          <w:rStyle w:val="CharStyle16"/>
          <w:lang w:val="en-US" w:eastAsia="en-US"/>
        </w:rPr>
        <w:t xml:space="preserve">1 - 433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к настоящему постановлению, приложении </w:t>
      </w:r>
      <w:r>
        <w:rPr>
          <w:rStyle w:val="CharStyle16"/>
          <w:lang w:val="en-US" w:eastAsia="en-US"/>
        </w:rPr>
        <w:t xml:space="preserve">№ 3 </w:t>
      </w:r>
      <w:r>
        <w:rPr>
          <w:rStyle w:val="CharStyle16"/>
        </w:rPr>
        <w:t xml:space="preserve">к настоящему постановлению, из Российской Федерации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6"/>
          <w:lang w:val="en-US" w:eastAsia="en-US"/>
        </w:rPr>
        <w:t xml:space="preserve">17.1 </w:t>
      </w:r>
      <w:r>
        <w:rPr>
          <w:rStyle w:val="CharStyle16"/>
        </w:rPr>
        <w:t>Федерального закона «О промышленной политике в Российской Федерации», содержащей в том числе: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6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6"/>
          <w:lang w:val="en-US" w:eastAsia="en-US"/>
        </w:rPr>
        <w:t xml:space="preserve">17 </w:t>
      </w:r>
      <w:r>
        <w:rPr>
          <w:rStyle w:val="CharStyle16"/>
        </w:rPr>
        <w:t xml:space="preserve">июля </w:t>
      </w:r>
      <w:r>
        <w:rPr>
          <w:rStyle w:val="CharStyle16"/>
          <w:lang w:val="en-US" w:eastAsia="en-US"/>
        </w:rPr>
        <w:t xml:space="preserve">2015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№ 719 </w:t>
      </w:r>
      <w:r>
        <w:rPr>
          <w:rStyle w:val="CharStyle16"/>
        </w:rPr>
        <w:t xml:space="preserve">«О подтверждении производства российской промышленной продукции»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Постановление </w:t>
      </w:r>
      <w:r>
        <w:rPr>
          <w:rStyle w:val="CharStyle16"/>
          <w:lang w:val="en-US" w:eastAsia="en-US"/>
        </w:rPr>
        <w:t xml:space="preserve">№ 719) </w:t>
      </w:r>
      <w:r>
        <w:rPr>
          <w:rStyle w:val="CharStyle16"/>
        </w:rPr>
        <w:t xml:space="preserve">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</w:t>
      </w:r>
      <w:r>
        <w:rPr>
          <w:rStyle w:val="CharStyle16"/>
          <w:lang w:val="en-US" w:eastAsia="en-US"/>
        </w:rPr>
        <w:t xml:space="preserve">№ 719 </w:t>
      </w:r>
      <w:r>
        <w:rPr>
          <w:rStyle w:val="CharStyle16"/>
        </w:rPr>
        <w:t>для целей осуществления закупок;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6"/>
        </w:rPr>
        <w:t xml:space="preserve">информацию об уровне радиоэлектронной продукции (для товара, являющегося в соответствии с Постановлением </w:t>
      </w:r>
      <w:r>
        <w:rPr>
          <w:rStyle w:val="CharStyle16"/>
          <w:lang w:val="en-US" w:eastAsia="en-US"/>
        </w:rPr>
        <w:t xml:space="preserve">№ 719 </w:t>
      </w:r>
      <w:r>
        <w:rPr>
          <w:rStyle w:val="CharStyle16"/>
        </w:rPr>
        <w:t>радиоэлектронной продукцией первого уровня или радиоэлектронной продукцией второго уровня).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60"/>
        <w:jc w:val="both"/>
      </w:pPr>
      <w:r>
        <w:rPr>
          <w:rStyle w:val="CharStyle16"/>
        </w:rPr>
        <w:t xml:space="preserve">Подпунктом «б» пункта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Постановления </w:t>
      </w:r>
      <w:r>
        <w:rPr>
          <w:rStyle w:val="CharStyle16"/>
          <w:lang w:val="en-US" w:eastAsia="en-US"/>
        </w:rPr>
        <w:t xml:space="preserve">№ 1875 </w:t>
      </w:r>
      <w:r>
        <w:rPr>
          <w:rStyle w:val="CharStyle16"/>
        </w:rPr>
        <w:t xml:space="preserve">установлено, что ограничение, предусмотренное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Постановления </w:t>
      </w:r>
      <w:r>
        <w:rPr>
          <w:rStyle w:val="CharStyle16"/>
          <w:lang w:val="en-US" w:eastAsia="en-US"/>
        </w:rPr>
        <w:t xml:space="preserve">№ 1875, </w:t>
      </w:r>
      <w:r>
        <w:rPr>
          <w:rStyle w:val="CharStyle16"/>
        </w:rPr>
        <w:t xml:space="preserve">может не применяться заказчиками при осуществлении закупок товара из числа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Положения подпункта «б» пункта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Постановления </w:t>
      </w:r>
      <w:r>
        <w:rPr>
          <w:rStyle w:val="CharStyle16"/>
          <w:lang w:val="en-US" w:eastAsia="en-US"/>
        </w:rPr>
        <w:t xml:space="preserve">№ 1875 </w:t>
      </w:r>
      <w:r>
        <w:rPr>
          <w:rStyle w:val="CharStyle16"/>
        </w:rPr>
        <w:t xml:space="preserve">не применяются при осуществлении закупок товаров, указанных в приложении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к Постановлению </w:t>
      </w:r>
      <w:r>
        <w:rPr>
          <w:rStyle w:val="CharStyle16"/>
          <w:lang w:val="en-US" w:eastAsia="en-US"/>
        </w:rPr>
        <w:t xml:space="preserve">№ 1875 </w:t>
      </w:r>
      <w:r>
        <w:rPr>
          <w:rStyle w:val="CharStyle16"/>
        </w:rPr>
        <w:t>и являющихся расходными материалами, комплектующими, принадлежностями к медицинским изделиям.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Предметом Закупки согласно извещению являлся «транспондер для анализатора измерения скорости оседания эритроцитов (СОЭ)» код ОКПД2 </w:t>
      </w:r>
      <w:r>
        <w:rPr>
          <w:rStyle w:val="CharStyle16"/>
          <w:lang w:val="en-US" w:eastAsia="en-US"/>
        </w:rPr>
        <w:t>26.60.12.119.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Заявителем в составе заявки представлен товар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сим-карты ООО «ВДМ Групп» Россия, представлена реестровая запись на данный товар.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Дополнительно участник предоставил письмо Росздравнадзора от </w:t>
      </w:r>
      <w:r>
        <w:rPr>
          <w:rStyle w:val="CharStyle16"/>
          <w:lang w:val="en-US" w:eastAsia="en-US"/>
        </w:rPr>
        <w:t>23.10.2023 № 10</w:t>
        <w:softHyphen/>
        <w:t xml:space="preserve">61463/23 </w:t>
      </w:r>
      <w:r>
        <w:rPr>
          <w:rStyle w:val="CharStyle16"/>
        </w:rPr>
        <w:t>о том, что транспондеры для анализатора СОЭ не являются медицинским изделием и не подлежат регистрации в качестве медицинского изделия на территории Российской Федерации. Соответственно, отдельное регистрационное удостоверение на них не может быть представлено.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Вместе с тем, как отмечает Комиссия, в составе заявки отсутствуют доказательства, подтверждающие совместимость предлагаемого Заявителем к поставке товара с уже имеющимся у Заказчика анализатором.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6"/>
        </w:rPr>
        <w:t>Поскольку Заявитель подал заявку на участие в закупке, то конклюдентно согласился с положениями извещения о проведении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пункте </w:t>
      </w:r>
      <w:r>
        <w:rPr>
          <w:rStyle w:val="CharStyle16"/>
          <w:lang w:val="en-US" w:eastAsia="en-US"/>
        </w:rPr>
        <w:t xml:space="preserve">3.1.2 </w:t>
      </w:r>
      <w:r>
        <w:rPr>
          <w:rStyle w:val="CharStyle16"/>
        </w:rPr>
        <w:t xml:space="preserve">Требований к содержанию, составу заявки на участие в закупке указано следующее: «предложение участника закупки в отношении объекта закупки должно содержать: документы, подтверждающие соответствие товара требованиям, установленным в соответствии с законодательством Российской Федерации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копия действующего регистрационного удостоверения медицинского изделия на каждый товар,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предлагаемый к поставке, или реквизиты регистрационного удостоверения или выписка из ГРМИ, выданная Росздравнадзором в соответствии с требованиями постановления Правительства РФ от </w:t>
      </w:r>
      <w:r>
        <w:rPr>
          <w:rStyle w:val="CharStyle16"/>
          <w:lang w:val="en-US" w:eastAsia="en-US"/>
        </w:rPr>
        <w:t>30.09.2021 № 1650».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Положения извещения о проведении закупке Заявитель не обжаловал, запросов на разъяснение документации не направлял. При этом комиссия по осуществлению закупок Заказчика самостоятельно принимает решение о допуске или об отклонении заявок, руководствуясь извещением об осуществлении закупки, документацией о закупке.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00"/>
        <w:jc w:val="both"/>
      </w:pPr>
      <w:r>
        <w:rPr>
          <w:rStyle w:val="CharStyle16"/>
        </w:rPr>
        <w:t>При таких обстоятельствах Комиссия признает довод жалобы о незаконном отклонении заявки необоснованным.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По результатам внеплановой проверки Комиссией установлено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 xml:space="preserve">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описание объекта закупки в соответствии со статьей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В соответствии с 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7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сопровождение такого указания словами «или эквивалент»;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6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6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6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Таким образом, в случае закупки запасных частей и расходных материалов к оборудованию, используемому заказчиком, Заказчик вправе установить указание на товарный знак.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Как следует из представленных возражений Заказчика, товаром, полностью совместимым с Анализатором измерения скорости оседания эритроцитов (СОЭ) </w:t>
      </w:r>
      <w:r>
        <w:rPr>
          <w:rStyle w:val="CharStyle16"/>
          <w:lang w:val="en-US" w:eastAsia="en-US"/>
        </w:rPr>
        <w:t xml:space="preserve">CUBE 30 TOUCH </w:t>
      </w:r>
      <w:r>
        <w:rPr>
          <w:rStyle w:val="CharStyle16"/>
        </w:rPr>
        <w:t xml:space="preserve">согласно инструкции являются только принадлежности произведенные компанией </w:t>
      </w:r>
      <w:r>
        <w:rPr>
          <w:rStyle w:val="CharStyle16"/>
          <w:lang w:val="en-US" w:eastAsia="en-US"/>
        </w:rPr>
        <w:t xml:space="preserve">«DIESSE Diagnostica Senese S.p.A.», </w:t>
      </w:r>
      <w:r>
        <w:rPr>
          <w:rStyle w:val="CharStyle16"/>
        </w:rPr>
        <w:t>любая неоригинальная часть или принадлежность, используемые в анализаторе могут повредить МИ или привести к неверным результатам анализа. Иных фактов, доказательств совместимости принадлежностей других производителей с оборудованием Заказчика сторонами не представлено.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При этом требование «оригинальный» расходный материал является функциональным (обеспечение совместимости и безопасности) и объективным, а потому соответствует статье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 xml:space="preserve">Закона о контрактной системе. При этом рынок поставщиков не сужается до одного лица: к участию допускаются любые хозяйствующие субъекты, способные поставить оригинальные расходные материалы указанного товарного знака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официальные дилеры, дистрибьюторы, уполномоченные партнеры и т.п., что само по себе свидетельствует об открытом характере конкурентной борьбы.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При таких обстоятельствах Заказчику следовало установить требование о поставке товара определенного товарного знака в соответствии с требованиями 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В силу пункта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>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При этом пунктом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Закона о контрактной системе установлен исчерпывающий перечень документов и сведений предоставляемых участником закупки в составе заявки на участие в закупке.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Из буквального толкования названных положений следует, что заказчики, осуществляющие закупку по правилам данного закона, при описании объекта закупки должны таким образом определить требования к закупаемым товарам, работам и услугам, чтобы, с одной стороны, повысить шансы на приобретение товара именно с теми характеристиками, которые им необходимы, соответствуют их потребностям, а с другой стороны, необоснованно не ограничить количество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Установление же в извещении об осуществлении закупки требования о предоставлении участником закупки информации и/или документов, подтверждающих совместимость предлагаемых участником к поставке расходных материалов, влечет за собой ограничение количества участников закупки и противоречит требованиям 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В соответствии с частью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7 </w:t>
      </w:r>
      <w:r>
        <w:rPr>
          <w:rStyle w:val="CharStyle16"/>
        </w:rPr>
        <w:t>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Закупаемый товар не является медицинским изделием, в связи с чем не может иметь регистрационное удостоверение. Вместе с тем, Заказчиком в Извещении установлено требование о предоставлении: «копии действующего регистрационного удостоверения медицинского изделия на каждый товар, предлагаемый к поставке, или реквизиты регистрационного удостоверения или выписки из ГРМИ» в нарушение 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7,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Данное нарушение содержит состав административного правонарушения, ответственность за совершение которого предусмотрена частью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7.30.1 </w:t>
      </w:r>
      <w:r>
        <w:rPr>
          <w:rStyle w:val="CharStyle16"/>
        </w:rPr>
        <w:t>Кодекса Российской Федерации об административных правонарушениях.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00"/>
        <w:jc w:val="both"/>
      </w:pPr>
      <w:r>
        <w:rPr>
          <w:rStyle w:val="CharStyle16"/>
        </w:rPr>
        <w:t xml:space="preserve">На основании изложенного и руководствуясь частью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системе, Комиссия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10" w:name="bookmark10"/>
      <w:r>
        <w:rPr>
          <w:rStyle w:val="CharStyle33"/>
          <w:b/>
          <w:bCs/>
        </w:rPr>
        <w:t>РЕШИЛА:</w:t>
      </w:r>
      <w:bookmarkEnd w:id="10"/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78" w:val="left"/>
        </w:tabs>
        <w:bidi w:val="0"/>
        <w:spacing w:before="0" w:after="260" w:line="240" w:lineRule="auto"/>
        <w:ind w:left="0" w:right="0" w:firstLine="840"/>
        <w:jc w:val="both"/>
      </w:pPr>
      <w:r>
        <w:rPr>
          <w:rStyle w:val="CharStyle16"/>
        </w:rPr>
        <w:t>Признать жалобу необоснованной.</w:t>
      </w:r>
      <w:r>
        <w:br w:type="page"/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94" w:val="left"/>
        </w:tabs>
        <w:bidi w:val="0"/>
        <w:spacing w:before="0" w:after="0" w:line="240" w:lineRule="auto"/>
        <w:ind w:left="740" w:right="0" w:firstLine="160"/>
        <w:jc w:val="both"/>
      </w:pPr>
      <w:r>
        <w:rPr>
          <w:rStyle w:val="CharStyle16"/>
        </w:rPr>
        <w:t xml:space="preserve">Признать в действиях Заказчика нарушение 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7,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78" w:val="left"/>
        </w:tabs>
        <w:bidi w:val="0"/>
        <w:spacing w:before="0" w:after="0" w:line="240" w:lineRule="auto"/>
        <w:ind w:left="740" w:right="0" w:firstLine="160"/>
        <w:jc w:val="both"/>
      </w:pPr>
      <w:r>
        <w:rPr>
          <w:rStyle w:val="CharStyle16"/>
        </w:rPr>
        <w:t>Выдать предписание об устранении выявленного нарушения.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94" w:val="left"/>
        </w:tabs>
        <w:bidi w:val="0"/>
        <w:spacing w:before="0" w:after="560" w:line="240" w:lineRule="auto"/>
        <w:ind w:left="0" w:right="0" w:firstLine="980"/>
        <w:jc w:val="both"/>
      </w:pPr>
      <w:r>
        <w:rPr>
          <w:rStyle w:val="CharStyle16"/>
        </w:rPr>
        <w:t>Передать материалы о выявленных нарушениях должностному лицу, уполномоченному рассматривать дела об административных правонарушениях, для рассмотрения вопроса о возбуждении административного производства в отношении должностного лица Заказчика.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80"/>
        <w:jc w:val="both"/>
      </w:pPr>
      <w:r>
        <w:rPr>
          <w:rStyle w:val="CharStyle16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533400" distB="734695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533400</wp:posOffset>
                </wp:positionV>
                <wp:extent cx="1828800" cy="75565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755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4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6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6"/>
                                <w:sz w:val="28"/>
                                <w:szCs w:val="28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200000000000003pt;margin-top:42.pt;width:144.pt;height:59.5pt;z-index:-125829375;mso-wrap-distance-left:0;mso-wrap-distance-top:42.pt;mso-wrap-distance-right:0;mso-wrap-distance-bottom:57.8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4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6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6"/>
                          <w:sz w:val="28"/>
                          <w:szCs w:val="28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4210" distB="1152525" distL="0" distR="0" simplePos="0" relativeHeight="125829380" behindDoc="0" locked="0" layoutInCell="1" allowOverlap="1">
                <wp:simplePos x="0" y="0"/>
                <wp:positionH relativeFrom="page">
                  <wp:posOffset>3238500</wp:posOffset>
                </wp:positionH>
                <wp:positionV relativeFrom="paragraph">
                  <wp:posOffset>664210</wp:posOffset>
                </wp:positionV>
                <wp:extent cx="1344295" cy="20701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55.pt;margin-top:52.300000000000004pt;width:105.85000000000001pt;height:16.300000000000001pt;z-index:-125829373;mso-wrap-distance-left:0;mso-wrap-distance-top:52.300000000000004pt;mso-wrap-distance-right:0;mso-wrap-distance-bottom:90.75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8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08050" distB="1027430" distL="0" distR="0" simplePos="0" relativeHeight="125829382" behindDoc="0" locked="0" layoutInCell="1" allowOverlap="1">
                <wp:simplePos x="0" y="0"/>
                <wp:positionH relativeFrom="page">
                  <wp:posOffset>3272155</wp:posOffset>
                </wp:positionH>
                <wp:positionV relativeFrom="paragraph">
                  <wp:posOffset>908050</wp:posOffset>
                </wp:positionV>
                <wp:extent cx="1002665" cy="8826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2665" cy="882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57.64999999999998pt;margin-top:71.5pt;width:78.950000000000003pt;height:6.9500000000000002pt;z-index:-125829371;mso-wrap-distance-left:0;mso-wrap-distance-top:71.5pt;mso-wrap-distance-right:0;mso-wrap-distance-bottom:80.900000000000006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29970" distB="756285" distL="0" distR="0" simplePos="0" relativeHeight="125829384" behindDoc="0" locked="0" layoutInCell="1" allowOverlap="1">
                <wp:simplePos x="0" y="0"/>
                <wp:positionH relativeFrom="page">
                  <wp:posOffset>2924810</wp:posOffset>
                </wp:positionH>
                <wp:positionV relativeFrom="paragraph">
                  <wp:posOffset>1029970</wp:posOffset>
                </wp:positionV>
                <wp:extent cx="1713230" cy="2374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323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4"/>
                                <w:color w:val="000000"/>
                              </w:rPr>
                              <w:t>Фисенко Евгения Викторовна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4"/>
                                <w:color w:val="363636"/>
                              </w:rPr>
                              <w:t xml:space="preserve">№ </w:t>
                            </w:r>
                            <w:r>
                              <w:rPr>
                                <w:rStyle w:val="CharStyle24"/>
                                <w:lang w:val="en-US" w:eastAsia="en-US"/>
                              </w:rPr>
                              <w:t>00E748A8AC66C0EB9FB401CF51717A344</w:t>
                            </w:r>
                            <w:r>
                              <w:rPr>
                                <w:rStyle w:val="CharStyle24"/>
                                <w:lang w:val="en-US" w:eastAsia="en-US"/>
                              </w:rPr>
                              <w:t>6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Действителен с 13.01.2026 по 08.04.2027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30.30000000000001pt;margin-top:81.100000000000009pt;width:134.90000000000001pt;height:18.699999999999999pt;z-index:-125829369;mso-wrap-distance-left:0;mso-wrap-distance-top:81.100000000000009pt;mso-wrap-distance-right:0;mso-wrap-distance-bottom:59.550000000000004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 xml:space="preserve">Кому выдан: </w:t>
                      </w:r>
                      <w:r>
                        <w:rPr>
                          <w:rStyle w:val="CharStyle24"/>
                          <w:color w:val="000000"/>
                        </w:rPr>
                        <w:t>Фисенко Евгения Викторовна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 xml:space="preserve">Сертификат </w:t>
                      </w:r>
                      <w:r>
                        <w:rPr>
                          <w:rStyle w:val="CharStyle24"/>
                          <w:color w:val="363636"/>
                        </w:rPr>
                        <w:t xml:space="preserve">№ </w:t>
                      </w:r>
                      <w:r>
                        <w:rPr>
                          <w:rStyle w:val="CharStyle24"/>
                          <w:lang w:val="en-US" w:eastAsia="en-US"/>
                        </w:rPr>
                        <w:t>00E748A8AC66C0EB9FB401CF51717A344</w:t>
                      </w:r>
                      <w:r>
                        <w:rPr>
                          <w:rStyle w:val="CharStyle24"/>
                          <w:lang w:val="en-US" w:eastAsia="en-US"/>
                        </w:rPr>
                        <w:t>6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Действителен с 13.01.2026 по 08.04.2027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29385" distB="389890" distL="0" distR="0" simplePos="0" relativeHeight="125829386" behindDoc="0" locked="0" layoutInCell="1" allowOverlap="1">
                <wp:simplePos x="0" y="0"/>
                <wp:positionH relativeFrom="page">
                  <wp:posOffset>3235325</wp:posOffset>
                </wp:positionH>
                <wp:positionV relativeFrom="paragraph">
                  <wp:posOffset>1429385</wp:posOffset>
                </wp:positionV>
                <wp:extent cx="1322705" cy="20447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20"/>
                                <w:color w:val="202020"/>
                              </w:rPr>
                              <w:t xml:space="preserve">ЭП, </w:t>
                            </w:r>
                            <w:r>
                              <w:rPr>
                                <w:rStyle w:val="CharStyle20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rStyle w:val="CharStyle20"/>
                                <w:color w:val="202020"/>
                              </w:rPr>
                              <w:t xml:space="preserve">ФАС </w:t>
                            </w:r>
                            <w:r>
                              <w:rPr>
                                <w:rStyle w:val="CharStyle20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54.75pt;margin-top:112.55pt;width:104.15000000000001pt;height:16.100000000000001pt;z-index:-125829367;mso-wrap-distance-left:0;mso-wrap-distance-top:112.55pt;mso-wrap-distance-right:0;mso-wrap-distance-bottom:30.699999999999999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3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20"/>
                          <w:color w:val="202020"/>
                        </w:rPr>
                        <w:t xml:space="preserve">ЭП, </w:t>
                      </w:r>
                      <w:r>
                        <w:rPr>
                          <w:rStyle w:val="CharStyle20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rStyle w:val="CharStyle20"/>
                          <w:color w:val="202020"/>
                        </w:rPr>
                        <w:t xml:space="preserve">ФАС </w:t>
                      </w:r>
                      <w:r>
                        <w:rPr>
                          <w:rStyle w:val="CharStyle20"/>
                        </w:rPr>
                        <w:t>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70050" distB="268605" distL="0" distR="0" simplePos="0" relativeHeight="125829388" behindDoc="0" locked="0" layoutInCell="1" allowOverlap="1">
                <wp:simplePos x="0" y="0"/>
                <wp:positionH relativeFrom="page">
                  <wp:posOffset>3265805</wp:posOffset>
                </wp:positionH>
                <wp:positionV relativeFrom="paragraph">
                  <wp:posOffset>1670050</wp:posOffset>
                </wp:positionV>
                <wp:extent cx="990600" cy="850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85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57.14999999999998pt;margin-top:131.5pt;width:78.pt;height:6.7000000000000002pt;z-index:-125829365;mso-wrap-distance-left:0;mso-wrap-distance-top:131.5pt;mso-wrap-distance-right:0;mso-wrap-distance-bottom:21.150000000000002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89430" distB="0" distL="0" distR="0" simplePos="0" relativeHeight="125829390" behindDoc="0" locked="0" layoutInCell="1" allowOverlap="1">
                <wp:simplePos x="0" y="0"/>
                <wp:positionH relativeFrom="page">
                  <wp:posOffset>2924810</wp:posOffset>
                </wp:positionH>
                <wp:positionV relativeFrom="paragraph">
                  <wp:posOffset>1789430</wp:posOffset>
                </wp:positionV>
                <wp:extent cx="1697990" cy="2349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4"/>
                                <w:color w:val="000000"/>
                              </w:rPr>
                              <w:t>Шиханова Лариса Борисовна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4"/>
                                <w:color w:val="363636"/>
                              </w:rPr>
                              <w:t xml:space="preserve">№ </w:t>
                            </w:r>
                            <w:r>
                              <w:rPr>
                                <w:rStyle w:val="CharStyle24"/>
                                <w:lang w:val="en-US" w:eastAsia="en-US"/>
                              </w:rPr>
                              <w:t>00E671FDDC4F3C4926B25847DA27E6C65</w:t>
                            </w:r>
                            <w:r>
                              <w:rPr>
                                <w:rStyle w:val="CharStyle24"/>
                                <w:lang w:val="en-US" w:eastAsia="en-US"/>
                              </w:rPr>
                              <w:t>8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 xml:space="preserve">Действителен с 20.11.2025 по </w:t>
                            </w:r>
                            <w:r>
                              <w:rPr>
                                <w:rStyle w:val="CharStyle24"/>
                                <w:color w:val="363636"/>
                              </w:rPr>
                              <w:t>1</w:t>
                            </w:r>
                            <w:r>
                              <w:rPr>
                                <w:rStyle w:val="CharStyle24"/>
                              </w:rPr>
                              <w:t>3.02.2027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30.30000000000001pt;margin-top:140.90000000000001pt;width:133.69999999999999pt;height:18.5pt;z-index:-125829363;mso-wrap-distance-left:0;mso-wrap-distance-top:140.9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 xml:space="preserve">Кому выдан: </w:t>
                      </w:r>
                      <w:r>
                        <w:rPr>
                          <w:rStyle w:val="CharStyle24"/>
                          <w:color w:val="000000"/>
                        </w:rPr>
                        <w:t>Шиханова Лариса Борисовна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 xml:space="preserve">Сертификат </w:t>
                      </w:r>
                      <w:r>
                        <w:rPr>
                          <w:rStyle w:val="CharStyle24"/>
                          <w:color w:val="363636"/>
                        </w:rPr>
                        <w:t xml:space="preserve">№ </w:t>
                      </w:r>
                      <w:r>
                        <w:rPr>
                          <w:rStyle w:val="CharStyle24"/>
                          <w:lang w:val="en-US" w:eastAsia="en-US"/>
                        </w:rPr>
                        <w:t>00E671FDDC4F3C4926B25847DA27E6C65</w:t>
                      </w:r>
                      <w:r>
                        <w:rPr>
                          <w:rStyle w:val="CharStyle24"/>
                          <w:lang w:val="en-US" w:eastAsia="en-US"/>
                        </w:rPr>
                        <w:t>8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 xml:space="preserve">Действителен с 20.11.2025 по </w:t>
                      </w:r>
                      <w:r>
                        <w:rPr>
                          <w:rStyle w:val="CharStyle24"/>
                          <w:color w:val="363636"/>
                        </w:rPr>
                        <w:t>1</w:t>
                      </w:r>
                      <w:r>
                        <w:rPr>
                          <w:rStyle w:val="CharStyle24"/>
                        </w:rPr>
                        <w:t>3.02.2027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186055" distL="0" distR="0" simplePos="0" relativeHeight="125829392" behindDoc="0" locked="0" layoutInCell="1" allowOverlap="1">
                <wp:simplePos x="0" y="0"/>
                <wp:positionH relativeFrom="page">
                  <wp:posOffset>6018530</wp:posOffset>
                </wp:positionH>
                <wp:positionV relativeFrom="paragraph">
                  <wp:posOffset>533400</wp:posOffset>
                </wp:positionV>
                <wp:extent cx="1173480" cy="13042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1304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6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6"/>
                                <w:sz w:val="28"/>
                                <w:szCs w:val="28"/>
                              </w:rPr>
                              <w:t>Е.В. Фисенко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6"/>
                                <w:sz w:val="28"/>
                                <w:szCs w:val="28"/>
                              </w:rPr>
                              <w:t>Л.Б. Шиханова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6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6"/>
                                <w:sz w:val="28"/>
                                <w:szCs w:val="28"/>
                              </w:rPr>
                              <w:t>С.А. Ковалева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3.90000000000003pt;margin-top:42.pt;width:92.400000000000006pt;height:102.7pt;z-index:-125829361;mso-wrap-distance-left:0;mso-wrap-distance-top:42.pt;mso-wrap-distance-right:0;mso-wrap-distance-bottom:14.6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6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6"/>
                          <w:sz w:val="28"/>
                          <w:szCs w:val="28"/>
                        </w:rPr>
                        <w:t>Е.В. Фисенко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6"/>
                          <w:sz w:val="28"/>
                          <w:szCs w:val="28"/>
                        </w:rPr>
                        <w:t>Л.Б. Шиханова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6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6"/>
                          <w:sz w:val="28"/>
                          <w:szCs w:val="28"/>
                        </w:rPr>
                        <w:t>С.А. Ковалева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4" w:right="534" w:bottom="1166" w:left="1099" w:header="0" w:footer="3" w:gutter="0"/>
          <w:cols w:space="720"/>
          <w:noEndnote/>
          <w:rtlGutter w:val="0"/>
          <w:docGrid w:linePitch="360"/>
        </w:sectPr>
      </w:pPr>
      <w:r>
        <w:drawing>
          <wp:anchor distT="76200" distB="0" distL="0" distR="1310640" simplePos="0" relativeHeight="125829394" behindDoc="0" locked="0" layoutInCell="1" allowOverlap="1">
            <wp:simplePos x="0" y="0"/>
            <wp:positionH relativeFrom="page">
              <wp:posOffset>2945765</wp:posOffset>
            </wp:positionH>
            <wp:positionV relativeFrom="paragraph">
              <wp:posOffset>76200</wp:posOffset>
            </wp:positionV>
            <wp:extent cx="274320" cy="40830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7432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3284220</wp:posOffset>
                </wp:positionH>
                <wp:positionV relativeFrom="paragraph">
                  <wp:posOffset>374650</wp:posOffset>
                </wp:positionV>
                <wp:extent cx="953770" cy="8509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85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9"/>
                                <w:color w:val="DEDEDE"/>
                                <w:sz w:val="9"/>
                                <w:szCs w:val="9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58.60000000000002pt;margin-top:29.5pt;width:75.100000000000009pt;height:6.70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9"/>
                          <w:color w:val="DEDEDE"/>
                          <w:sz w:val="9"/>
                          <w:szCs w:val="9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3253740</wp:posOffset>
                </wp:positionH>
                <wp:positionV relativeFrom="paragraph">
                  <wp:posOffset>143510</wp:posOffset>
                </wp:positionV>
                <wp:extent cx="1276985" cy="19812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56.19999999999999pt;margin-top:11.300000000000001pt;width:100.55pt;height:15.6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60"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Ковалева Светлана Александровна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60" w:right="0" w:firstLine="0"/>
        <w:jc w:val="left"/>
      </w:pPr>
      <w:r>
        <w:rPr>
          <w:rStyle w:val="CharStyle24"/>
        </w:rPr>
        <w:t xml:space="preserve">Сертификат № </w:t>
      </w:r>
      <w:r>
        <w:rPr>
          <w:rStyle w:val="CharStyle24"/>
          <w:lang w:val="en-US" w:eastAsia="en-US"/>
        </w:rPr>
        <w:t>00E9BB69D92B5E4E4A9CE28D9F1987EC8</w:t>
      </w:r>
      <w:r>
        <w:rPr>
          <w:rStyle w:val="CharStyle24"/>
          <w:lang w:val="en-US" w:eastAsia="en-US"/>
        </w:rPr>
        <w:t>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60" w:right="0" w:firstLine="0"/>
        <w:jc w:val="both"/>
      </w:pPr>
      <w:r>
        <w:rPr>
          <w:rStyle w:val="CharStyle24"/>
        </w:rPr>
        <w:t>Действителен с 05.12.2025 по 28.02.2027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5" w:bottom="1110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10015855</wp:posOffset>
              </wp:positionV>
              <wp:extent cx="612775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277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2026-1545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649999999999999pt;margin-top:788.64999999999998pt;width:48.25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2026-1545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1277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277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2026-1545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70000000000005pt;width:48.25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2026-1545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Body text (3)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63636"/>
      <w:sz w:val="9"/>
      <w:szCs w:val="9"/>
      <w:u w:val="none"/>
    </w:rPr>
  </w:style>
  <w:style w:type="character" w:customStyle="1" w:styleId="CharStyle22">
    <w:name w:val="Body text (6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DEDEDE"/>
      <w:sz w:val="9"/>
      <w:szCs w:val="9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5F5F5F"/>
      <w:sz w:val="9"/>
      <w:szCs w:val="9"/>
      <w:u w:val="none"/>
    </w:rPr>
  </w:style>
  <w:style w:type="character" w:customStyle="1" w:styleId="CharStyle29">
    <w:name w:val="Picture caption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63636"/>
      <w:sz w:val="9"/>
      <w:szCs w:val="9"/>
      <w:u w:val="none"/>
    </w:rPr>
  </w:style>
  <w:style w:type="character" w:customStyle="1" w:styleId="CharStyle33">
    <w:name w:val="Heading #3_"/>
    <w:basedOn w:val="DefaultParagraphFont"/>
    <w:link w:val="Style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6">
    <w:name w:val="Heading #1_"/>
    <w:basedOn w:val="DefaultParagraphFont"/>
    <w:link w:val="Style3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Body text (3)"/>
    <w:basedOn w:val="Normal"/>
    <w:link w:val="CharStyle20"/>
    <w:pPr>
      <w:widowControl w:val="0"/>
      <w:shd w:val="clear" w:color="auto" w:fill="auto"/>
      <w:spacing w:line="22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63636"/>
      <w:sz w:val="9"/>
      <w:szCs w:val="9"/>
      <w:u w:val="none"/>
    </w:rPr>
  </w:style>
  <w:style w:type="paragraph" w:customStyle="1" w:styleId="Style21">
    <w:name w:val="Body text (6)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DEDEDE"/>
      <w:sz w:val="9"/>
      <w:szCs w:val="9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F5F5F"/>
      <w:sz w:val="9"/>
      <w:szCs w:val="9"/>
      <w:u w:val="none"/>
    </w:rPr>
  </w:style>
  <w:style w:type="paragraph" w:customStyle="1" w:styleId="Style28">
    <w:name w:val="Picture caption"/>
    <w:basedOn w:val="Normal"/>
    <w:link w:val="CharStyle2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63636"/>
      <w:sz w:val="9"/>
      <w:szCs w:val="9"/>
      <w:u w:val="none"/>
    </w:rPr>
  </w:style>
  <w:style w:type="paragraph" w:customStyle="1" w:styleId="Style32">
    <w:name w:val="Heading #3"/>
    <w:basedOn w:val="Normal"/>
    <w:link w:val="CharStyle33"/>
    <w:pPr>
      <w:widowControl w:val="0"/>
      <w:shd w:val="clear" w:color="auto" w:fill="auto"/>
      <w:spacing w:after="41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35">
    <w:name w:val="Heading #1"/>
    <w:basedOn w:val="Normal"/>
    <w:link w:val="CharStyle36"/>
    <w:pPr>
      <w:widowControl w:val="0"/>
      <w:shd w:val="clear" w:color="auto" w:fill="auto"/>
      <w:spacing w:after="4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/Relationships>
</file>