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77595" distR="1056005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821055</wp:posOffset>
                </wp:positionH>
                <wp:positionV relativeFrom="paragraph">
                  <wp:posOffset>622300</wp:posOffset>
                </wp:positionV>
                <wp:extent cx="2416810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3.05.2026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20048/26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650000000000006pt;margin-top:49.pt;width:190.30000000000001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7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3.05.2026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20048/26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1140" w:right="0" w:firstLine="0"/>
        <w:jc w:val="both"/>
      </w:pPr>
      <w:r>
        <w:rPr>
          <w:rStyle w:val="CharStyle7"/>
        </w:rPr>
        <w:t xml:space="preserve">ФГБУ «ФНИЦ Охота» </w:t>
      </w:r>
      <w:r>
        <w:fldChar w:fldCharType="begin"/>
      </w:r>
      <w:r>
        <w:rPr/>
        <w:instrText> HYPERLINK "mailto:tosha.anton.23@inbox.ru" </w:instrText>
      </w:r>
      <w:r>
        <w:fldChar w:fldCharType="separate"/>
      </w:r>
      <w:r>
        <w:rPr>
          <w:rStyle w:val="CharStyle7"/>
          <w:lang w:val="en-US" w:eastAsia="en-US"/>
        </w:rPr>
        <w:t>tosha.anton.23@inbox.ru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60" w:line="480" w:lineRule="auto"/>
        <w:ind w:left="1140" w:right="0" w:firstLine="0"/>
        <w:jc w:val="both"/>
      </w:pPr>
      <w:r>
        <w:rPr>
          <w:rStyle w:val="CharStyle7"/>
        </w:rPr>
        <w:t xml:space="preserve">ООО «Рус-Авто Трейд» </w:t>
      </w:r>
      <w:r>
        <w:fldChar w:fldCharType="begin"/>
      </w:r>
      <w:r>
        <w:rPr/>
        <w:instrText> HYPERLINK "mailto:goszakupki@rusauto53.ru" </w:instrText>
      </w:r>
      <w:r>
        <w:fldChar w:fldCharType="separate"/>
      </w:r>
      <w:r>
        <w:rPr>
          <w:rStyle w:val="CharStyle7"/>
          <w:lang w:val="en-US" w:eastAsia="en-US"/>
        </w:rPr>
        <w:t>goszakupki@rusauto53.ru</w:t>
      </w:r>
      <w:r>
        <w:fldChar w:fldCharType="end"/>
      </w:r>
      <w:r>
        <w:rPr>
          <w:rStyle w:val="CharStyle7"/>
          <w:lang w:val="en-US" w:eastAsia="en-US"/>
        </w:rPr>
        <w:t xml:space="preserve"> </w:t>
      </w:r>
      <w:r>
        <w:rPr>
          <w:rStyle w:val="CharStyle7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7"/>
          <w:lang w:val="en-US" w:eastAsia="en-US"/>
        </w:rPr>
        <w:t>ko@roseltorg.ru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077/06/105-5758/2026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7"/>
          <w:b/>
          <w:bCs/>
          <w:lang w:val="en-US" w:eastAsia="en-US"/>
        </w:rPr>
        <w:t>07.05.2026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Комиссия Управления Федеральной антимонопольной службы по г. Москве по контролю в сфере закупок товаров, работ, услуг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633" w:val="left"/>
          <w:tab w:pos="676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</w:t>
        <w:tab/>
        <w:t>отдела обжалования</w:t>
        <w:tab/>
        <w:t>государственных закупок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А.С. Гелмутдиновой,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633" w:val="left"/>
          <w:tab w:pos="4852" w:val="left"/>
          <w:tab w:pos="676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</w:t>
        <w:tab/>
        <w:t>отдела</w:t>
        <w:tab/>
        <w:t>обжалования</w:t>
        <w:tab/>
        <w:t>государственных закупок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Е.С. Переверзевой,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рассмотрение жалоб проводилось дистанционно (посредством видео-конференц-связи),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при участии представителей ФГБУ «ФНИЦ Охота»: Малышкина А.С. (по дов. </w:t>
      </w:r>
      <w:r>
        <w:rPr>
          <w:rStyle w:val="CharStyle7"/>
          <w:lang w:val="en-US" w:eastAsia="en-US"/>
        </w:rPr>
        <w:t xml:space="preserve">№56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 xml:space="preserve">06.05.2026), </w:t>
      </w:r>
      <w:r>
        <w:rPr>
          <w:rStyle w:val="CharStyle7"/>
        </w:rPr>
        <w:t xml:space="preserve">Матвеевой А.А.(по дов. </w:t>
      </w:r>
      <w:r>
        <w:rPr>
          <w:rStyle w:val="CharStyle7"/>
          <w:lang w:val="en-US" w:eastAsia="en-US"/>
        </w:rPr>
        <w:t xml:space="preserve">№55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>13.04.2026),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 отсутствие представителей ООО «Рус-Авто Трейд»,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746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рассмотрев жалобы ООО «Рус-Авто Трейд»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Заявитель) на действия ФГБУ «ФНИЦ Охота»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Заказчик) при проведении электронных аукционов на право заключения государственных контрактов на поставку автотранспортных средств для нужд учреждения (Закупка </w:t>
      </w:r>
      <w:r>
        <w:rPr>
          <w:rStyle w:val="CharStyle7"/>
          <w:lang w:val="en-US" w:eastAsia="en-US"/>
        </w:rPr>
        <w:t>№№</w:t>
        <w:tab/>
        <w:t>0373100099626000014,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drawing>
          <wp:anchor distT="88900" distB="0" distL="114300" distR="114300" simplePos="0" relativeHeight="125829381" behindDoc="0" locked="0" layoutInCell="1" allowOverlap="1">
            <wp:simplePos x="0" y="0"/>
            <wp:positionH relativeFrom="page">
              <wp:posOffset>717550</wp:posOffset>
            </wp:positionH>
            <wp:positionV relativeFrom="margin">
              <wp:posOffset>9091930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  <w:lang w:val="en-US" w:eastAsia="en-US"/>
        </w:rPr>
        <w:t xml:space="preserve">0373100099626000013)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электронные аукционы, аукционы),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>№44-ФЗ «О контрактной системе в сфере закупок товаров, работ, услуг для обеспечения государственных и муниципальных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r>
        <w:rPr>
          <w:rStyle w:val="CharStyle7"/>
        </w:rPr>
        <w:t xml:space="preserve">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7"/>
        </w:rPr>
        <w:t xml:space="preserve">В Московское УФАС России поступили жалобы Заявителя на действия комиссии об осуществлении закупок Заказчика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комиссия Заказчика) при проведении вышеуказанных электронных аукционов.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7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7"/>
        </w:rPr>
        <w:t>В результате рассмотрения жалоб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7"/>
        </w:rPr>
        <w:t>В составе жалоб Заявитель отмечает неправомерность действий комиссии Заказчика, выразившиеся в формировании протоколов подведения итогов определения поставщика (подрядчика, исполнителя) в нарушении Закона о контрактной системе, выразившееся в отсутствии в таких протоколах обоснований отклонения заявки Заявителя.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7"/>
        </w:rPr>
        <w:t>При таких обстоятельствах Заявитель отмечает, что невозможно определить точную причину отклонения, в то время, как по мнению подателя жалобы, поданная заявка содержала все необходимые документы и сведения.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7"/>
        </w:rPr>
        <w:t xml:space="preserve">Так, согласно протоколу подведения итогов определения поставщика (подрядчика, исполнителя) от </w:t>
      </w:r>
      <w:r>
        <w:rPr>
          <w:rStyle w:val="CharStyle7"/>
          <w:lang w:val="en-US" w:eastAsia="en-US"/>
        </w:rPr>
        <w:t xml:space="preserve">30.04.2026 </w:t>
      </w:r>
      <w:r>
        <w:rPr>
          <w:rStyle w:val="CharStyle7"/>
        </w:rPr>
        <w:t xml:space="preserve">№ИЭА1 по закупочной процедуре </w:t>
      </w:r>
      <w:r>
        <w:rPr>
          <w:rStyle w:val="CharStyle7"/>
          <w:lang w:val="en-US" w:eastAsia="en-US"/>
        </w:rPr>
        <w:t xml:space="preserve">№ 0373100099626000014 </w:t>
      </w:r>
      <w:r>
        <w:rPr>
          <w:rStyle w:val="CharStyle7"/>
        </w:rPr>
        <w:t xml:space="preserve">заявка Заявителя с идентификационным номером </w:t>
      </w:r>
      <w:r>
        <w:rPr>
          <w:rStyle w:val="CharStyle7"/>
          <w:lang w:val="en-US" w:eastAsia="en-US"/>
        </w:rPr>
        <w:t xml:space="preserve">3131871 </w:t>
      </w:r>
      <w:r>
        <w:rPr>
          <w:rStyle w:val="CharStyle7"/>
        </w:rPr>
        <w:t>отклонена на следующем основании: «</w:t>
      </w:r>
      <w:r>
        <w:rPr>
          <w:rStyle w:val="CharStyle7"/>
          <w:i/>
          <w:iCs/>
        </w:rPr>
        <w:t xml:space="preserve">Отклонить заявку на участие в закупке по п.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ч. </w:t>
      </w:r>
      <w:r>
        <w:rPr>
          <w:rStyle w:val="CharStyle7"/>
          <w:i/>
          <w:iCs/>
          <w:lang w:val="en-US" w:eastAsia="en-US"/>
        </w:rPr>
        <w:t xml:space="preserve">12 </w:t>
      </w:r>
      <w:r>
        <w:rPr>
          <w:rStyle w:val="CharStyle7"/>
          <w:i/>
          <w:iCs/>
        </w:rPr>
        <w:t xml:space="preserve">ст.48 №44-ФЗ «Непредставление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п.2. </w:t>
      </w:r>
      <w:r>
        <w:rPr>
          <w:rStyle w:val="CharStyle7"/>
          <w:i/>
          <w:iCs/>
          <w:lang w:val="en-US" w:eastAsia="en-US"/>
        </w:rPr>
        <w:t xml:space="preserve">3 </w:t>
      </w:r>
      <w:r>
        <w:rPr>
          <w:rStyle w:val="CharStyle7"/>
          <w:i/>
          <w:iCs/>
        </w:rPr>
        <w:t xml:space="preserve">ч. </w:t>
      </w:r>
      <w:r>
        <w:rPr>
          <w:rStyle w:val="CharStyle7"/>
          <w:i/>
          <w:iCs/>
          <w:lang w:val="en-US" w:eastAsia="en-US"/>
        </w:rPr>
        <w:t xml:space="preserve">6 </w:t>
      </w:r>
      <w:r>
        <w:rPr>
          <w:rStyle w:val="CharStyle7"/>
          <w:i/>
          <w:iCs/>
        </w:rPr>
        <w:t xml:space="preserve">ст. </w:t>
      </w:r>
      <w:r>
        <w:rPr>
          <w:rStyle w:val="CharStyle7"/>
          <w:i/>
          <w:iCs/>
          <w:lang w:val="en-US" w:eastAsia="en-US"/>
        </w:rPr>
        <w:t xml:space="preserve">43 </w:t>
      </w:r>
      <w:r>
        <w:rPr>
          <w:rStyle w:val="CharStyle7"/>
          <w:i/>
          <w:iCs/>
        </w:rPr>
        <w:t xml:space="preserve">Закона 44-ФЗ), несоответствие таких информации и документов требованиям» п.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ч.12 ст.48 №44-ФЗ «Непредставление информации и документов, предусмотренных извещением об осуществлении закупки </w:t>
      </w:r>
      <w:r>
        <w:rPr>
          <w:rStyle w:val="CharStyle7"/>
          <w:i/>
          <w:iCs/>
          <w:lang w:val="en-US" w:eastAsia="en-US"/>
        </w:rPr>
        <w:t xml:space="preserve">( </w:t>
      </w:r>
      <w:r>
        <w:rPr>
          <w:rStyle w:val="CharStyle7"/>
          <w:i/>
          <w:iCs/>
        </w:rPr>
        <w:t xml:space="preserve">за исключением информации и документов, предусмотренных п.2. </w:t>
      </w:r>
      <w:r>
        <w:rPr>
          <w:rStyle w:val="CharStyle7"/>
          <w:i/>
          <w:iCs/>
          <w:lang w:val="en-US" w:eastAsia="en-US"/>
        </w:rPr>
        <w:t xml:space="preserve">3 </w:t>
      </w:r>
      <w:r>
        <w:rPr>
          <w:rStyle w:val="CharStyle7"/>
          <w:i/>
          <w:iCs/>
        </w:rPr>
        <w:t xml:space="preserve">ч. </w:t>
      </w:r>
      <w:r>
        <w:rPr>
          <w:rStyle w:val="CharStyle7"/>
          <w:i/>
          <w:iCs/>
          <w:lang w:val="en-US" w:eastAsia="en-US"/>
        </w:rPr>
        <w:t xml:space="preserve">6 </w:t>
      </w:r>
      <w:r>
        <w:rPr>
          <w:rStyle w:val="CharStyle7"/>
          <w:i/>
          <w:iCs/>
        </w:rPr>
        <w:t xml:space="preserve">ст. </w:t>
      </w:r>
      <w:r>
        <w:rPr>
          <w:rStyle w:val="CharStyle7"/>
          <w:i/>
          <w:iCs/>
          <w:lang w:val="en-US" w:eastAsia="en-US"/>
        </w:rPr>
        <w:t xml:space="preserve">43 </w:t>
      </w:r>
      <w:r>
        <w:rPr>
          <w:rStyle w:val="CharStyle7"/>
          <w:i/>
          <w:iCs/>
        </w:rPr>
        <w:t>Закона 44-ФЗ), несоответствие таких информации и документов требованиям.».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60"/>
        <w:jc w:val="both"/>
      </w:pPr>
      <w:r>
        <w:rPr>
          <w:rStyle w:val="CharStyle7"/>
        </w:rPr>
        <w:t xml:space="preserve">Также согласно протоколу подведения итогов определения поставщика (подрядчика, исполнителя) от </w:t>
      </w:r>
      <w:r>
        <w:rPr>
          <w:rStyle w:val="CharStyle7"/>
          <w:lang w:val="en-US" w:eastAsia="en-US"/>
        </w:rPr>
        <w:t xml:space="preserve">30.04.2026 </w:t>
      </w:r>
      <w:r>
        <w:rPr>
          <w:rStyle w:val="CharStyle7"/>
        </w:rPr>
        <w:t xml:space="preserve">№ИЭА1 по закупочной процедуре </w:t>
      </w:r>
      <w:r>
        <w:rPr>
          <w:rStyle w:val="CharStyle7"/>
          <w:lang w:val="en-US" w:eastAsia="en-US"/>
        </w:rPr>
        <w:t xml:space="preserve">№ 0373100099626000013 </w:t>
      </w:r>
      <w:r>
        <w:rPr>
          <w:rStyle w:val="CharStyle7"/>
        </w:rPr>
        <w:t xml:space="preserve">заявка Заявителя с идентификационным номером </w:t>
      </w:r>
      <w:r>
        <w:rPr>
          <w:rStyle w:val="CharStyle7"/>
          <w:lang w:val="en-US" w:eastAsia="en-US"/>
        </w:rPr>
        <w:t xml:space="preserve">3131929 </w:t>
      </w:r>
      <w:r>
        <w:rPr>
          <w:rStyle w:val="CharStyle7"/>
        </w:rPr>
        <w:t>отклонена на следующем основании: «</w:t>
      </w:r>
      <w:r>
        <w:rPr>
          <w:rStyle w:val="CharStyle7"/>
          <w:i/>
          <w:iCs/>
        </w:rPr>
        <w:t xml:space="preserve">Отклонить заявку на участие в закупке по п.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ч. </w:t>
      </w:r>
      <w:r>
        <w:rPr>
          <w:rStyle w:val="CharStyle7"/>
          <w:i/>
          <w:iCs/>
          <w:lang w:val="en-US" w:eastAsia="en-US"/>
        </w:rPr>
        <w:t xml:space="preserve">12 </w:t>
      </w:r>
      <w:r>
        <w:rPr>
          <w:rStyle w:val="CharStyle7"/>
          <w:i/>
          <w:iCs/>
        </w:rPr>
        <w:t xml:space="preserve">ст.48 №44-ФЗ «Непредставление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</w:t>
      </w:r>
      <w:r>
        <w:rPr>
          <w:rStyle w:val="CharStyle7"/>
          <w:i/>
          <w:iCs/>
          <w:lang w:val="en-US" w:eastAsia="en-US"/>
        </w:rPr>
        <w:t xml:space="preserve">2, 3 </w:t>
      </w:r>
      <w:r>
        <w:rPr>
          <w:rStyle w:val="CharStyle7"/>
          <w:i/>
          <w:iCs/>
        </w:rPr>
        <w:t xml:space="preserve">ч. </w:t>
      </w:r>
      <w:r>
        <w:rPr>
          <w:rStyle w:val="CharStyle7"/>
          <w:i/>
          <w:iCs/>
          <w:lang w:val="en-US" w:eastAsia="en-US"/>
        </w:rPr>
        <w:t xml:space="preserve">6 </w:t>
      </w:r>
      <w:r>
        <w:rPr>
          <w:rStyle w:val="CharStyle7"/>
          <w:i/>
          <w:iCs/>
        </w:rPr>
        <w:t xml:space="preserve">ст. </w:t>
      </w:r>
      <w:r>
        <w:rPr>
          <w:rStyle w:val="CharStyle7"/>
          <w:i/>
          <w:iCs/>
          <w:lang w:val="en-US" w:eastAsia="en-US"/>
        </w:rPr>
        <w:t xml:space="preserve">43 </w:t>
      </w:r>
      <w:r>
        <w:rPr>
          <w:rStyle w:val="CharStyle7"/>
          <w:i/>
          <w:iCs/>
        </w:rPr>
        <w:t xml:space="preserve">Закона 44-ФЗ), несоответствие таких информации и документов требованиям» п.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ч. </w:t>
      </w:r>
      <w:r>
        <w:rPr>
          <w:rStyle w:val="CharStyle7"/>
          <w:i/>
          <w:iCs/>
          <w:lang w:val="en-US" w:eastAsia="en-US"/>
        </w:rPr>
        <w:t xml:space="preserve">12 </w:t>
      </w:r>
      <w:r>
        <w:rPr>
          <w:rStyle w:val="CharStyle7"/>
          <w:i/>
          <w:iCs/>
        </w:rPr>
        <w:t xml:space="preserve">ст. </w:t>
      </w:r>
      <w:r>
        <w:rPr>
          <w:rStyle w:val="CharStyle7"/>
          <w:i/>
          <w:iCs/>
          <w:lang w:val="en-US" w:eastAsia="en-US"/>
        </w:rPr>
        <w:t xml:space="preserve">48 </w:t>
      </w:r>
      <w:r>
        <w:rPr>
          <w:rStyle w:val="CharStyle7"/>
          <w:i/>
          <w:iCs/>
        </w:rPr>
        <w:t xml:space="preserve">№44-ФЗ «Непредставление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</w:t>
      </w:r>
      <w:r>
        <w:rPr>
          <w:rStyle w:val="CharStyle7"/>
          <w:i/>
          <w:iCs/>
          <w:lang w:val="en-US" w:eastAsia="en-US"/>
        </w:rPr>
        <w:t xml:space="preserve">2, 54. </w:t>
      </w:r>
      <w:r>
        <w:rPr>
          <w:rStyle w:val="CharStyle7"/>
          <w:i/>
          <w:iCs/>
        </w:rPr>
        <w:t xml:space="preserve">3ч. </w:t>
      </w:r>
      <w:r>
        <w:rPr>
          <w:rStyle w:val="CharStyle7"/>
          <w:i/>
          <w:iCs/>
          <w:lang w:val="en-US" w:eastAsia="en-US"/>
        </w:rPr>
        <w:t xml:space="preserve">6 </w:t>
      </w:r>
      <w:r>
        <w:rPr>
          <w:rStyle w:val="CharStyle7"/>
          <w:i/>
          <w:iCs/>
        </w:rPr>
        <w:t xml:space="preserve">ст. </w:t>
      </w:r>
      <w:r>
        <w:rPr>
          <w:rStyle w:val="CharStyle7"/>
          <w:i/>
          <w:iCs/>
          <w:lang w:val="en-US" w:eastAsia="en-US"/>
        </w:rPr>
        <w:t xml:space="preserve">43 </w:t>
      </w:r>
      <w:r>
        <w:rPr>
          <w:rStyle w:val="CharStyle7"/>
          <w:i/>
          <w:iCs/>
        </w:rPr>
        <w:t>Закона 44-ФЗ), несоответствие таких информации и документов требованиям»».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члены комиссии по осуществлению закупок: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п.4 ч.4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 </w:t>
      </w:r>
      <w:r>
        <w:rPr>
          <w:rStyle w:val="CharStyle7"/>
          <w:lang w:val="en-US" w:eastAsia="en-US"/>
        </w:rPr>
        <w:t xml:space="preserve">- 8 </w:t>
      </w:r>
      <w:r>
        <w:rPr>
          <w:rStyle w:val="CharStyle7"/>
        </w:rPr>
        <w:t>ч.12 ст.48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на основании информации, содержащейся в протоколе подачи ценовых предложений, а также результатов рассмотрения, предусмотренного пп.«а» п.1 ч.5 ст.49 Закона о контрактной системе,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п.9 ч.3 ст.49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абз.1 п.9 ч.3 ст.49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>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</w:t>
      </w:r>
      <w:r>
        <w:rPr>
          <w:rStyle w:val="CharStyle7"/>
          <w:lang w:val="en-US" w:eastAsia="en-US"/>
        </w:rPr>
        <w:t xml:space="preserve">1, 2, 4 - 7 </w:t>
      </w:r>
      <w:r>
        <w:rPr>
          <w:rStyle w:val="CharStyle7"/>
        </w:rPr>
        <w:t>ч.17 ст.48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силу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ч.6 ст.43 Закона о контрактной системе), несоответствия таких информации 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непредставления информации и документов, предусмотренных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несоответствия участника закупки требованиям, установленным в извещении об осуществлении закупки в соответствии с 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31 </w:t>
      </w:r>
      <w:r>
        <w:rPr>
          <w:rStyle w:val="CharStyle7"/>
        </w:rPr>
        <w:t xml:space="preserve">Закона о контрактной системе, требованиям, установленным в извещении об осуществлении закупки в соответствии с ч. </w:t>
      </w:r>
      <w:r>
        <w:rPr>
          <w:rStyle w:val="CharStyle7"/>
          <w:lang w:val="en-US" w:eastAsia="en-US"/>
        </w:rPr>
        <w:t xml:space="preserve">1.1, 2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 xml:space="preserve">(при наличии таких требований) ст. </w:t>
      </w:r>
      <w:r>
        <w:rPr>
          <w:rStyle w:val="CharStyle7"/>
          <w:lang w:val="en-US" w:eastAsia="en-US"/>
        </w:rPr>
        <w:t xml:space="preserve">31 </w:t>
      </w:r>
      <w:r>
        <w:rPr>
          <w:rStyle w:val="CharStyle7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предусмотренных пп. «а»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(за исключением случая, предусмотренного п.5 ч.12 ст.48 Закона о контрактной системе), пп. «а»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4, </w:t>
      </w:r>
      <w:r>
        <w:rPr>
          <w:rStyle w:val="CharStyle7"/>
        </w:rPr>
        <w:t xml:space="preserve">пп. «а»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(за исключением случая, предусмотренного п.5 ч.12 ст.48 Закона о контрактной системе),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непредставления информации и документов, предусмотренных п.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43 </w:t>
      </w:r>
      <w:r>
        <w:rPr>
          <w:rStyle w:val="CharStyle7"/>
        </w:rPr>
        <w:t xml:space="preserve">Закона о контрактной системе, если такие информация и документы определены в соответствии с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 xml:space="preserve">Закона о контрактной системе (в случае установления в соответствии с пп. «а»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>Закона о контрактной системе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выявления отнесения участника закупки к организациям, предусмотренным п.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Федерального закона от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июня </w:t>
      </w:r>
      <w:r>
        <w:rPr>
          <w:rStyle w:val="CharStyle7"/>
          <w:lang w:val="en-US" w:eastAsia="en-US"/>
        </w:rPr>
        <w:t xml:space="preserve">2018 </w:t>
      </w:r>
      <w:r>
        <w:rPr>
          <w:rStyle w:val="CharStyle7"/>
        </w:rPr>
        <w:t>года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7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предусмотренных ч.6 ст. </w:t>
      </w:r>
      <w:r>
        <w:rPr>
          <w:rStyle w:val="CharStyle7"/>
          <w:lang w:val="en-US" w:eastAsia="en-US"/>
        </w:rPr>
        <w:t xml:space="preserve">45 </w:t>
      </w:r>
      <w:r>
        <w:rPr>
          <w:rStyle w:val="CharStyle7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выявления недостоверной информации, содержащейся в заявке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силу п.2 ч.17 ст.48 Закона о контрактной системе протокол подведения итогов определения поставщика (подрядчика, исполнителя) должен содержать следующую информацию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Законом о контрактной системе, </w:t>
      </w:r>
      <w:r>
        <w:rPr>
          <w:rStyle w:val="CharStyle7"/>
          <w:i/>
          <w:iCs/>
        </w:rPr>
        <w:t>с обоснованием такого решения и указанием положений Закона о контрактной системе, извещения об осуществлении закупки, которым не соответствует такая заявка, положений заявки на участие в закупке, которые не соответствуют извещению об осуществлении закупки</w:t>
      </w:r>
      <w:r>
        <w:rPr>
          <w:rStyle w:val="CharStyle7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На заседании Комиссии Управления представитель Заказчика пояснил, что в заявке Заявителя по закупочной процедуре </w:t>
      </w:r>
      <w:r>
        <w:rPr>
          <w:rStyle w:val="CharStyle7"/>
          <w:lang w:val="en-US" w:eastAsia="en-US"/>
        </w:rPr>
        <w:t xml:space="preserve">№ 0373100099626000014 </w:t>
      </w:r>
      <w:r>
        <w:rPr>
          <w:rStyle w:val="CharStyle7"/>
        </w:rPr>
        <w:t xml:space="preserve">был указан реестровый номер </w:t>
      </w:r>
      <w:r>
        <w:rPr>
          <w:rStyle w:val="CharStyle7"/>
          <w:lang w:val="en-US" w:eastAsia="en-US"/>
        </w:rPr>
        <w:t xml:space="preserve">PPПП № 10465651, </w:t>
      </w:r>
      <w:r>
        <w:rPr>
          <w:rStyle w:val="CharStyle7"/>
        </w:rPr>
        <w:t xml:space="preserve">которому соответствует автомобиль </w:t>
      </w:r>
      <w:r>
        <w:rPr>
          <w:rStyle w:val="CharStyle7"/>
          <w:lang w:val="en-US" w:eastAsia="en-US"/>
        </w:rPr>
        <w:t xml:space="preserve">УA3- 374195-05 </w:t>
      </w:r>
      <w:r>
        <w:rPr>
          <w:rStyle w:val="CharStyle7"/>
        </w:rPr>
        <w:t xml:space="preserve">и его модификации, технические характеристики которого не соответствуют Техническому заданию (приложение </w:t>
      </w:r>
      <w:r>
        <w:rPr>
          <w:rStyle w:val="CharStyle7"/>
          <w:lang w:val="en-US" w:eastAsia="en-US"/>
        </w:rPr>
        <w:t xml:space="preserve">№ 1 </w:t>
      </w:r>
      <w:r>
        <w:rPr>
          <w:rStyle w:val="CharStyle7"/>
        </w:rPr>
        <w:t xml:space="preserve">к извещению) и который не может являться эквивалентом </w:t>
      </w:r>
      <w:r>
        <w:rPr>
          <w:rStyle w:val="CharStyle7"/>
          <w:lang w:val="en-US" w:eastAsia="en-US"/>
        </w:rPr>
        <w:t xml:space="preserve">YA3 Hunter BASE FLEET </w:t>
      </w:r>
      <w:r>
        <w:rPr>
          <w:rStyle w:val="CharStyle7"/>
        </w:rPr>
        <w:t xml:space="preserve">Евро </w:t>
      </w:r>
      <w:r>
        <w:rPr>
          <w:rStyle w:val="CharStyle7"/>
          <w:lang w:val="en-US" w:eastAsia="en-US"/>
        </w:rPr>
        <w:t>5 2.7 MT 4WD.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Так, в частности характеристики кузова </w:t>
      </w:r>
      <w:r>
        <w:rPr>
          <w:rStyle w:val="CharStyle7"/>
          <w:lang w:val="en-US" w:eastAsia="en-US"/>
        </w:rPr>
        <w:t xml:space="preserve">YA3 Hunter BASE FLEET </w:t>
      </w:r>
      <w:r>
        <w:rPr>
          <w:rStyle w:val="CharStyle7"/>
        </w:rPr>
        <w:t xml:space="preserve">Евро </w:t>
      </w:r>
      <w:r>
        <w:rPr>
          <w:rStyle w:val="CharStyle7"/>
          <w:lang w:val="en-US" w:eastAsia="en-US"/>
        </w:rPr>
        <w:t xml:space="preserve">5 2.7 MT 4WD, </w:t>
      </w:r>
      <w:r>
        <w:rPr>
          <w:rStyle w:val="CharStyle7"/>
        </w:rPr>
        <w:t xml:space="preserve">согласно Техническому заданию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внедорожник </w:t>
      </w:r>
      <w:r>
        <w:rPr>
          <w:rStyle w:val="CharStyle7"/>
          <w:lang w:val="en-US" w:eastAsia="en-US"/>
        </w:rPr>
        <w:t xml:space="preserve">5. </w:t>
      </w:r>
      <w:r>
        <w:rPr>
          <w:rStyle w:val="CharStyle7"/>
        </w:rPr>
        <w:t xml:space="preserve">В то время как кузов у </w:t>
      </w:r>
      <w:r>
        <w:rPr>
          <w:rStyle w:val="CharStyle7"/>
          <w:lang w:val="en-US" w:eastAsia="en-US"/>
        </w:rPr>
        <w:t xml:space="preserve">YA3 Hunter BASE FLEET </w:t>
      </w:r>
      <w:r>
        <w:rPr>
          <w:rStyle w:val="CharStyle7"/>
        </w:rPr>
        <w:t xml:space="preserve">Евро </w:t>
      </w:r>
      <w:r>
        <w:rPr>
          <w:rStyle w:val="CharStyle7"/>
          <w:lang w:val="en-US" w:eastAsia="en-US"/>
        </w:rPr>
        <w:t xml:space="preserve">5 2.7 MT 4WD </w:t>
      </w:r>
      <w:r>
        <w:rPr>
          <w:rStyle w:val="CharStyle7"/>
        </w:rPr>
        <w:t xml:space="preserve">или эквивалент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фургон или комби и т.п.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Также представитель Заказчика пояснил, что в заявке Заявителя по закупочной процедуре </w:t>
      </w:r>
      <w:r>
        <w:rPr>
          <w:rStyle w:val="CharStyle7"/>
          <w:lang w:val="en-US" w:eastAsia="en-US"/>
        </w:rPr>
        <w:t xml:space="preserve">0373100099626000013 </w:t>
      </w:r>
      <w:r>
        <w:rPr>
          <w:rStyle w:val="CharStyle7"/>
        </w:rPr>
        <w:t xml:space="preserve">был указан реестровый номер </w:t>
      </w:r>
      <w:r>
        <w:rPr>
          <w:rStyle w:val="CharStyle7"/>
          <w:lang w:val="en-US" w:eastAsia="en-US"/>
        </w:rPr>
        <w:t xml:space="preserve">PPПП № 10465651, </w:t>
      </w:r>
      <w:r>
        <w:rPr>
          <w:rStyle w:val="CharStyle7"/>
        </w:rPr>
        <w:t xml:space="preserve">которому соответствует автомобиль </w:t>
      </w:r>
      <w:r>
        <w:rPr>
          <w:rStyle w:val="CharStyle7"/>
          <w:lang w:val="en-US" w:eastAsia="en-US"/>
        </w:rPr>
        <w:t xml:space="preserve">УA3-374195-05 </w:t>
      </w:r>
      <w:r>
        <w:rPr>
          <w:rStyle w:val="CharStyle7"/>
        </w:rPr>
        <w:t xml:space="preserve">и его модификации, технические характеристики которого не соответствуют Техническому заданию (приложение </w:t>
      </w:r>
      <w:r>
        <w:rPr>
          <w:rStyle w:val="CharStyle7"/>
          <w:lang w:val="en-US" w:eastAsia="en-US"/>
        </w:rPr>
        <w:t xml:space="preserve">№ 1 </w:t>
      </w:r>
      <w:r>
        <w:rPr>
          <w:rStyle w:val="CharStyle7"/>
        </w:rPr>
        <w:t>к извещению) и который не может являться эквивалентом УАЗ Патриот (максимальная комплектация).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Так, в частности характеристики кузова УАЗ Патриот, согласно Техническому заданию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цельнометаллический пятидверный. В то время как кузов у </w:t>
      </w:r>
      <w:r>
        <w:rPr>
          <w:rStyle w:val="CharStyle7"/>
          <w:lang w:val="en-US" w:eastAsia="en-US"/>
        </w:rPr>
        <w:t xml:space="preserve">УA3- 374195-05 — </w:t>
      </w:r>
      <w:r>
        <w:rPr>
          <w:rStyle w:val="CharStyle7"/>
        </w:rPr>
        <w:t>комби или фермер или с тентом.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Таким образом, комиссия Заказчика пришла к выводу, что Заявителем не представлены документы и сведения, подтверждающие соответствие заявки Техническому заданию, в связи с чем заявка Заявителя по закупочным процедурам </w:t>
      </w:r>
      <w:r>
        <w:rPr>
          <w:rStyle w:val="CharStyle7"/>
          <w:lang w:val="en-US" w:eastAsia="en-US"/>
        </w:rPr>
        <w:t xml:space="preserve">№ 0373100099626000014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№ 0373100099626000013 </w:t>
      </w:r>
      <w:r>
        <w:rPr>
          <w:rStyle w:val="CharStyle7"/>
        </w:rPr>
        <w:t>была отклонена.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Вместе с тем Комиссия Управления считает необходимым отметить, что, исходя из приведенных в протоколах подведения итогов формулировки отклонения заявок участников закупки, не представляется возможным определить точную причину отклонения заявки участника, поскольку использованная Заказчиком формулировка представляет собой исключительно отсылку к положениям п.1 ч.12 ст.48 Закона о контрактной системе без какой-либо конкретизации основания отклонения, что нарушает п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ч.5 ст. </w:t>
      </w:r>
      <w:r>
        <w:rPr>
          <w:rStyle w:val="CharStyle7"/>
          <w:lang w:val="en-US" w:eastAsia="en-US"/>
        </w:rPr>
        <w:t xml:space="preserve">49 </w:t>
      </w:r>
      <w:r>
        <w:rPr>
          <w:rStyle w:val="CharStyle7"/>
        </w:rPr>
        <w:t>Закона о контрактной системе, так как в основании отклонении заявки участника закупки не конкретизированы положения заявки на участие в закупке, которые не соответствуют Закону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Комиссия Управления также отмечает, что в целях обеспечения гласности и прозрачности осуществления закупок, предотвращения коррупции и других злоупотреблений в указанной сфере, представляется возможным сделать вывод о том, что обязательному доведению до сведения участников закупки подлежит вся информация, касающаяся хода и результатов рассмотрения их заявок на участие в названной закупке, поскольку упомянутые результаты напрямую затрагивают права и законные интересы таких участников.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Кроме того, такая информация должна детально раскрывать причины отклонения поданной заявки с указанием на то, каким именно положениям извещения не соответствует такая заявка и в какой именно ее части, с тем, чтобы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исключить возможность заказчиков в последующем субъективно трактовать причины такого отклонения и предоставить участникам закупки возможность в случае несогласия с таким решением заказчика оспорить в установленном законом порядке.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Названный правовой подход наиболее полно отвечает законодательно закрепленному принципу равенства участников гражданских правоотношений (ч.1 ст.1 Гражданского кодекса Российской Федерации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ГК РФ), и данного подхода последовательно придерживаются арбитражные суды Московского округа, в частности по делам </w:t>
      </w:r>
      <w:r>
        <w:rPr>
          <w:rStyle w:val="CharStyle7"/>
          <w:lang w:val="en-US" w:eastAsia="en-US"/>
        </w:rPr>
        <w:t xml:space="preserve">№№ </w:t>
      </w:r>
      <w:r>
        <w:rPr>
          <w:rStyle w:val="CharStyle7"/>
        </w:rPr>
        <w:t xml:space="preserve">А40-137048/12, А40-5013/14, А40-43124/14, А40- </w:t>
      </w:r>
      <w:r>
        <w:rPr>
          <w:rStyle w:val="CharStyle7"/>
          <w:lang w:val="en-US" w:eastAsia="en-US"/>
        </w:rPr>
        <w:t>219113/14.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Таким образом, отклонение заявки участника закупки без размещения корректного обоснования отклонения заявки такого участника закупки в протоколе изначально нельзя признать правомерным ввиду несоответствия таких действий целям обеспечения гласности и прозрачности осуществления закупок (ч.1 ст.1 Закона о контрактной системе), а также законодательно установленному запрету на злоупотребление правом (ч.2 ст.10 ГК РФ) и принципу недопустимости извлечения преимущества из своего незаконного или недобросовестного поведения (ч.4 ст.1 ГК РФ).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Также Комиссия Управления отмечает, что отсутствие оснований отклонения в составе протокола подведения итогов не позволяет участникам закупки надлежащим образом обжаловать такие основания отклонения в случае несогласия с принятым комиссией по осуществлению закупок Заказчика решением.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 основании вышеизложенного Комиссия Управления приходит к выводу, о нарушении комиссией Заказчика п.2 ч.5 ст.49 Закона о контрактной системы, что также свидетельствует о наличии в действиях комиссии Заказчика признаков состава административного правонарушения, ответственность за которое предусмотрена ч.7 ст.7.30.1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Одновременно с этим в ходе проведения внеплановой проверки Комиссией Управления установлено, что описание объекта закупки в извещении об осуществлении закупки противоречит описанию, изложенному Заказчиком в файле «Техническое задание».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08.02.2017 №145 </w:t>
      </w:r>
      <w:r>
        <w:rPr>
          <w:rStyle w:val="CharStyle7"/>
        </w:rPr>
        <w:t xml:space="preserve">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правила формирования КТРУ) и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Правила использования КТРУ).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пп.«а» п.2 Правила использования КТРУ каталог используется заказчиками в целях обеспечения применения информации о товарах, работах, услугах, в том числе в: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39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приглашении принять участие в определении поставщика (подрядчика, исполнителя)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приглашение);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39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документации о закупке (в случае если Федеральным законом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предусмотрена документация о закупке);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39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контракте;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39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реестре контрактов, заключенных заказчиками.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На основании п.4 Правил использования КТРУ Заказчики обязаны применять информацию, включенную в позицию каталога в соответствии с пп.«а»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«г» и «е»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«з» п.10 Правил формирования КТРУ.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1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наименование товара, работы, услуги;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2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описание товара, работы, услуги (при наличии такого описания в позиции).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П.5 Правил использования КТРУ в том числе определено, что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ст.33 Закона о контрактной системе, которые не предусмотрены в позиции каталога.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Вместе с тем в силу п. </w:t>
      </w:r>
      <w:r>
        <w:rPr>
          <w:rStyle w:val="CharStyle7"/>
          <w:lang w:val="en-US" w:eastAsia="en-US"/>
        </w:rPr>
        <w:t xml:space="preserve">6 </w:t>
      </w:r>
      <w:r>
        <w:rPr>
          <w:rStyle w:val="CharStyle7"/>
        </w:rPr>
        <w:t xml:space="preserve">Правил использования КТРУ в случае предоставления дополнительной информации, предусмотренной п.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>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этом п.7 Правил использования КТРУ регламентировано,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п.1 ч.1 ст.33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ч.1 ст.42, п.1 ч.1 ст.75 Закона о контрактной системе соответственно.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7"/>
        </w:rPr>
        <w:t>Формирование информации и документов с использованием единой информационной системы осуществляется путем заполнения экранных форм веб</w:t>
        <w:softHyphen/>
        <w:t>интерфейса единой информационной системы. При формировании извещения в ЕИС Заказчику требовалось указать характеристики к закупаемой продукции со значениями этих характеристик.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7"/>
        </w:rPr>
        <w:t>В данном случае Заказчику во исполнение требований п.5 ч.1 ст.42 Закона о контрактной системе, Правил пользования КТРУ надлежало отразить все характеристики закупаемых товаров в разделе «Характеристики товара, работы, услуги» с указанием в соответствующих графах наименования, значения и единицы измерения характеристик, чего Заказчиком сделано не было.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Так, например, характеристика, указанная в Техническом задании по закупочной процедуре </w:t>
      </w:r>
      <w:r>
        <w:rPr>
          <w:rStyle w:val="CharStyle7"/>
          <w:lang w:val="en-US" w:eastAsia="en-US"/>
        </w:rPr>
        <w:t xml:space="preserve">№ 0373100099626000014 </w:t>
      </w:r>
      <w:r>
        <w:rPr>
          <w:rStyle w:val="CharStyle7"/>
          <w:i/>
          <w:iCs/>
        </w:rPr>
        <w:t xml:space="preserve">«Тип кузова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Внедорожник </w:t>
      </w:r>
      <w:r>
        <w:rPr>
          <w:rStyle w:val="CharStyle7"/>
          <w:i/>
          <w:iCs/>
          <w:lang w:val="en-US" w:eastAsia="en-US"/>
        </w:rPr>
        <w:t>5»</w:t>
      </w:r>
      <w:r>
        <w:rPr>
          <w:rStyle w:val="CharStyle7"/>
          <w:lang w:val="en-US" w:eastAsia="en-US"/>
        </w:rPr>
        <w:t xml:space="preserve"> </w:t>
      </w:r>
      <w:r>
        <w:rPr>
          <w:rStyle w:val="CharStyle7"/>
        </w:rPr>
        <w:t>не отражена в составе структурированной формы извещения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Также, в частности, характеристика, указанная в Техническом задании по закупочной процедуре </w:t>
      </w:r>
      <w:r>
        <w:rPr>
          <w:rStyle w:val="CharStyle7"/>
          <w:lang w:val="en-US" w:eastAsia="en-US"/>
        </w:rPr>
        <w:t xml:space="preserve">№ 0373100099626000013 </w:t>
      </w:r>
      <w:r>
        <w:rPr>
          <w:rStyle w:val="CharStyle7"/>
          <w:i/>
          <w:iCs/>
        </w:rPr>
        <w:t>«Объем багажника:1130 л»</w:t>
      </w:r>
      <w:r>
        <w:rPr>
          <w:rStyle w:val="CharStyle7"/>
        </w:rPr>
        <w:t xml:space="preserve"> не отражена в составе структурированной формы извещения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Более того, предъявление требований к закупаемому товару в разных частях извещения о проведении закупки изначально не отвечает положениям ст.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>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Таким образом, Комиссия Управления приходит к выводу, что Заказчиком не исполнено надлежащим образом требование об описании объекта закупки с использованием единой информационной системы при формировании извещения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Исходя из вышеизложенного Комиссия Управления приходит к выводу, что положения извещения по закупочной процедуре </w:t>
      </w:r>
      <w:r>
        <w:rPr>
          <w:rStyle w:val="CharStyle7"/>
          <w:lang w:val="en-US" w:eastAsia="en-US"/>
        </w:rPr>
        <w:t xml:space="preserve">№ 0373100099626000014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№ 0373100099626000013 </w:t>
      </w:r>
      <w:r>
        <w:rPr>
          <w:rStyle w:val="CharStyle7"/>
        </w:rPr>
        <w:t>сформированы Заказчиком таким образом, что не позволяют участникам закупки представить сведения о поставляемых изделиях надлежащим образом и в полном, посредством заполнения сведений, указанных в структурированной форме извещения, размещенной в соответствии ч.1 ст.42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rStyle w:val="CharStyle7"/>
        </w:rPr>
        <w:t>Таким образом, на основании имеющихся документов и сведений, Комиссия Управления приходит к выводу о нарушении Заказчиком положений п.5 ч.1 ст.42, п.1 ч.1 ст.33 Закона о контрактной системе при формировании описания объекта закупки,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ч.6 ст.7.30.1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26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16" w:val="left"/>
        </w:tabs>
        <w:bidi w:val="0"/>
        <w:spacing w:before="0" w:after="0" w:line="226" w:lineRule="auto"/>
        <w:ind w:left="0" w:right="0" w:firstLine="620"/>
        <w:jc w:val="both"/>
      </w:pPr>
      <w:r>
        <w:rPr>
          <w:rStyle w:val="CharStyle7"/>
        </w:rPr>
        <w:t xml:space="preserve">Признать жалобу ООО «Рус-Авто Трейд» на действия комиссии ФГБУ «ФНИЦ Охота» по закупочным процедурам </w:t>
      </w:r>
      <w:r>
        <w:rPr>
          <w:rStyle w:val="CharStyle7"/>
          <w:lang w:val="en-US" w:eastAsia="en-US"/>
        </w:rPr>
        <w:t xml:space="preserve">№ 0373100099626000014, № 0373100099626000013 </w:t>
      </w:r>
      <w:r>
        <w:rPr>
          <w:rStyle w:val="CharStyle7"/>
        </w:rPr>
        <w:t>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06" w:val="left"/>
        </w:tabs>
        <w:bidi w:val="0"/>
        <w:spacing w:before="0" w:after="0" w:line="226" w:lineRule="auto"/>
        <w:ind w:left="0" w:right="0" w:firstLine="620"/>
        <w:jc w:val="both"/>
      </w:pPr>
      <w:r>
        <w:rPr>
          <w:rStyle w:val="CharStyle7"/>
        </w:rPr>
        <w:t>Признать в действиях комиссии Заказчика нарушения п.1 ч.1 ст.33, п.5 ч.1 ст.42, п.2 ч.5 ст.49,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11" w:val="left"/>
        </w:tabs>
        <w:bidi w:val="0"/>
        <w:spacing w:before="0" w:after="0" w:line="226" w:lineRule="auto"/>
        <w:ind w:left="0" w:right="0" w:firstLine="620"/>
        <w:jc w:val="both"/>
      </w:pPr>
      <w:r>
        <w:rPr>
          <w:rStyle w:val="CharStyle7"/>
        </w:rPr>
        <w:t>Выдать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11" w:val="left"/>
        </w:tabs>
        <w:bidi w:val="0"/>
        <w:spacing w:before="0" w:after="240" w:line="226" w:lineRule="auto"/>
        <w:ind w:left="0" w:right="0" w:firstLine="620"/>
        <w:jc w:val="both"/>
      </w:pPr>
      <w:r>
        <w:rPr>
          <w:rStyle w:val="CharStyle7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62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58" w:right="539" w:bottom="1177" w:left="1099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143000" distB="344170" distL="0" distR="0" simplePos="0" relativeHeight="125829382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1143000</wp:posOffset>
                </wp:positionV>
                <wp:extent cx="184404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800000000000004pt;margin-top:90.pt;width:145.20000000000002pt;height:19.699999999999999pt;z-index:-125829371;mso-wrap-distance-left:0;mso-wrap-distance-top:90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12850" distB="0" distL="0" distR="1786255" simplePos="0" relativeHeight="125829384" behindDoc="0" locked="0" layoutInCell="1" allowOverlap="1">
            <wp:simplePos x="0" y="0"/>
            <wp:positionH relativeFrom="page">
              <wp:posOffset>3297555</wp:posOffset>
            </wp:positionH>
            <wp:positionV relativeFrom="paragraph">
              <wp:posOffset>1212850</wp:posOffset>
            </wp:positionV>
            <wp:extent cx="359410" cy="52451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3757930</wp:posOffset>
                </wp:positionH>
                <wp:positionV relativeFrom="paragraph">
                  <wp:posOffset>1621155</wp:posOffset>
                </wp:positionV>
                <wp:extent cx="1283335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95.90000000000003pt;margin-top:127.65000000000001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3717925</wp:posOffset>
                </wp:positionH>
                <wp:positionV relativeFrom="paragraph">
                  <wp:posOffset>1304290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92.75pt;margin-top:102.7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0" distB="344170" distL="0" distR="0" simplePos="0" relativeHeight="125829385" behindDoc="0" locked="0" layoutInCell="1" allowOverlap="1">
                <wp:simplePos x="0" y="0"/>
                <wp:positionH relativeFrom="page">
                  <wp:posOffset>5903595</wp:posOffset>
                </wp:positionH>
                <wp:positionV relativeFrom="paragraph">
                  <wp:posOffset>1143000</wp:posOffset>
                </wp:positionV>
                <wp:extent cx="1307465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64.85000000000002pt;margin-top:90.pt;width:102.95pt;height:19.699999999999999pt;z-index:-125829368;mso-wrap-distance-left:0;mso-wrap-distance-top:90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Кутейников Антон Андреевич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67950889C45403E5BD9EBC88A8D80C0D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18"/>
        </w:rPr>
        <w:t xml:space="preserve">Действителен с 19.05.2025 </w:t>
      </w:r>
      <w:r>
        <w:rPr>
          <w:rStyle w:val="CharStyle18"/>
          <w:color w:val="5E5E5E"/>
        </w:rPr>
        <w:t xml:space="preserve">по </w:t>
      </w:r>
      <w:r>
        <w:rPr>
          <w:rStyle w:val="CharStyle18"/>
        </w:rPr>
        <w:t>12.08.2026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3297555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3757930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95.90000000000003pt;margin-top:36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3717925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92.75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А.С. Гелмутдинова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ГЕЛМУТДИНОВА АНАСТАСИЯ СЕРГЕЕВНА</w:t>
      </w:r>
      <w:r>
        <w:rPr>
          <w:rStyle w:val="CharStyle18"/>
          <w:color w:val="000000"/>
        </w:rPr>
        <w:t xml:space="preserve"> </w:t>
      </w: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</w:rPr>
        <w:t>723501СС21703599976371</w:t>
      </w:r>
      <w:r>
        <w:rPr>
          <w:rStyle w:val="CharStyle18"/>
          <w:lang w:val="en-US" w:eastAsia="en-US"/>
        </w:rPr>
        <w:t>4F5C652689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60"/>
        <w:ind w:right="0" w:firstLine="0"/>
        <w:jc w:val="left"/>
      </w:pPr>
      <w:r>
        <w:rPr>
          <w:rStyle w:val="CharStyle18"/>
        </w:rPr>
        <w:t xml:space="preserve">Действителен с 09.02.2026 </w:t>
      </w:r>
      <w:r>
        <w:rPr>
          <w:rStyle w:val="CharStyle18"/>
          <w:color w:val="5E5E5E"/>
        </w:rPr>
        <w:t xml:space="preserve">по </w:t>
      </w:r>
      <w:r>
        <w:rPr>
          <w:rStyle w:val="CharStyle18"/>
        </w:rPr>
        <w:t>05.05.2027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3297555</wp:posOffset>
            </wp:positionH>
            <wp:positionV relativeFrom="paragraph">
              <wp:posOffset>50800</wp:posOffset>
            </wp:positionV>
            <wp:extent cx="359410" cy="530225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3757930</wp:posOffset>
                </wp:positionH>
                <wp:positionV relativeFrom="paragraph">
                  <wp:posOffset>465455</wp:posOffset>
                </wp:positionV>
                <wp:extent cx="1283335" cy="10033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95.90000000000003pt;margin-top:36.649999999999999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3717925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92.75pt;margin-top:11.70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Е.С. Переверзева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ПЕРЕВЕРЗЕВА ЕЛИЗАВЕТА СЕРГЕЕВНА</w:t>
      </w:r>
      <w:r>
        <w:rPr>
          <w:rStyle w:val="CharStyle18"/>
          <w:color w:val="000000"/>
        </w:rPr>
        <w:t xml:space="preserve"> </w:t>
      </w: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00FFF3ACD3A01A73F4C680C3941</w:t>
      </w:r>
      <w:r>
        <w:rPr>
          <w:rStyle w:val="CharStyle18"/>
        </w:rPr>
        <w:t>ЕЗСА026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060"/>
        <w:ind w:right="0" w:firstLine="0"/>
        <w:jc w:val="left"/>
      </w:pPr>
      <w:r>
        <w:rPr>
          <w:rStyle w:val="CharStyle18"/>
        </w:rPr>
        <w:t xml:space="preserve">Действителен с 11.12.2025 </w:t>
      </w:r>
      <w:r>
        <w:rPr>
          <w:rStyle w:val="CharStyle18"/>
          <w:color w:val="5E5E5E"/>
        </w:rPr>
        <w:t xml:space="preserve">по </w:t>
      </w:r>
      <w:r>
        <w:rPr>
          <w:rStyle w:val="CharStyle18"/>
        </w:rPr>
        <w:t>06.03.2027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3"/>
        </w:rPr>
        <w:t>Исп.Гелмутдинова А.С.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730885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2026-23272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550000000000004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2026-23272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10214610</wp:posOffset>
              </wp:positionV>
              <wp:extent cx="716280" cy="12827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2026-23272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00000000000003pt;margin-top:804.30000000000007pt;width:56.399999999999999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2026-23272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3931285</wp:posOffset>
              </wp:positionH>
              <wp:positionV relativeFrom="page">
                <wp:posOffset>473075</wp:posOffset>
              </wp:positionV>
              <wp:extent cx="57785" cy="698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55000000000001pt;margin-top:37.25pt;width:4.5499999999999998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Picture caption_"/>
    <w:basedOn w:val="DefaultParagraphFont"/>
    <w:link w:val="Style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3">
    <w:name w:val="Header or footer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8">
    <w:name w:val="Body text (2)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3">
    <w:name w:val="Body text (4)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Picture caption"/>
    <w:basedOn w:val="Normal"/>
    <w:link w:val="CharStyle1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2">
    <w:name w:val="Header or footer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7">
    <w:name w:val="Body text (2)"/>
    <w:basedOn w:val="Normal"/>
    <w:link w:val="CharStyle18"/>
    <w:pPr>
      <w:widowControl w:val="0"/>
      <w:shd w:val="clear" w:color="auto" w:fill="auto"/>
      <w:spacing w:line="266" w:lineRule="auto"/>
      <w:ind w:left="41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2">
    <w:name w:val="Body text (4)"/>
    <w:basedOn w:val="Normal"/>
    <w:link w:val="CharStyle23"/>
    <w:pPr>
      <w:widowControl w:val="0"/>
      <w:shd w:val="clear" w:color="auto" w:fill="auto"/>
      <w:spacing w:after="3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