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11810" cy="60960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11810" cy="609600"/>
                    </a:xfrm>
                    <a:prstGeom prst="rect"/>
                  </pic:spPr>
                </pic:pic>
              </a:graphicData>
            </a:graphic>
          </wp:inline>
        </w:drawing>
      </w:r>
    </w:p>
    <w:p>
      <w:pPr>
        <w:pStyle w:val="Style5"/>
        <w:keepNext w:val="0"/>
        <w:keepLines w:val="0"/>
        <w:widowControl w:val="0"/>
        <w:shd w:val="clear" w:color="auto" w:fill="auto"/>
        <w:bidi w:val="0"/>
        <w:spacing w:before="0" w:after="200" w:line="259" w:lineRule="auto"/>
        <w:ind w:left="0" w:right="0" w:firstLine="0"/>
        <w:jc w:val="center"/>
      </w:pPr>
      <w:r>
        <w:rPr>
          <w:rStyle w:val="CharStyle6"/>
          <w:b/>
          <w:bCs/>
        </w:rPr>
        <w:t>ФЕДЕРАЛЬНАЯ</w:t>
        <w:br/>
        <w:t>АНТИМОНОПОЛЬНАЯ СЛУЖБА</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УПРАВЛЕНИЕ</w:t>
      </w:r>
    </w:p>
    <w:p>
      <w:pPr>
        <w:pStyle w:val="Style5"/>
        <w:keepNext w:val="0"/>
        <w:keepLines w:val="0"/>
        <w:widowControl w:val="0"/>
        <w:shd w:val="clear" w:color="auto" w:fill="auto"/>
        <w:bidi w:val="0"/>
        <w:spacing w:before="0" w:after="200" w:line="240" w:lineRule="auto"/>
        <w:ind w:left="0" w:right="0" w:firstLine="0"/>
        <w:jc w:val="center"/>
      </w:pPr>
      <w:r>
        <w:rPr>
          <w:rStyle w:val="CharStyle6"/>
          <w:b/>
          <w:bCs/>
        </w:rPr>
        <w:t>по г. Москве</w:t>
      </w:r>
    </w:p>
    <w:p>
      <w:pPr>
        <w:pStyle w:val="Style5"/>
        <w:keepNext w:val="0"/>
        <w:keepLines w:val="0"/>
        <w:widowControl w:val="0"/>
        <w:shd w:val="clear" w:color="auto" w:fill="auto"/>
        <w:bidi w:val="0"/>
        <w:spacing w:before="0" w:after="100" w:line="240" w:lineRule="auto"/>
        <w:ind w:left="0" w:right="0" w:firstLine="0"/>
        <w:jc w:val="center"/>
      </w:pPr>
      <w:r>
        <w:rPr>
          <w:rStyle w:val="CharStyle6"/>
        </w:rPr>
        <w:t>Мясницкий проезд, д.4, стр. 1</w:t>
        <w:br/>
        <w:t>107078, г. Москва,</w:t>
        <w:br/>
        <w:t>тел. (495) 784-75-05, факс (495) 607-49-29</w:t>
        <w:br/>
        <w:t xml:space="preserve">факс (495) 607-42-92, </w:t>
      </w:r>
      <w:r>
        <w:rPr>
          <w:rStyle w:val="CharStyle6"/>
          <w:u w:val="single"/>
          <w:lang w:val="en-US" w:eastAsia="en-US"/>
        </w:rPr>
        <w:t xml:space="preserve">e-mail: </w:t>
      </w:r>
      <w:r>
        <w:fldChar w:fldCharType="begin"/>
      </w:r>
      <w:r>
        <w:rPr/>
        <w:instrText> HYPERLINK "mailto:to77@fas.gov.ru" </w:instrText>
      </w:r>
      <w:r>
        <w:fldChar w:fldCharType="separate"/>
      </w:r>
      <w:r>
        <w:rPr>
          <w:rStyle w:val="CharStyle6"/>
          <w:u w:val="single"/>
          <w:lang w:val="en-US" w:eastAsia="en-US"/>
        </w:rPr>
        <w:t>to77@fas.gov.ru</w:t>
      </w:r>
      <w:r>
        <w:fldChar w:fldCharType="end"/>
      </w:r>
    </w:p>
    <w:p>
      <w:pPr>
        <w:pStyle w:val="Style9"/>
        <w:keepNext/>
        <w:keepLines/>
        <w:widowControl w:val="0"/>
        <w:shd w:val="clear" w:color="auto" w:fill="auto"/>
        <w:tabs>
          <w:tab w:pos="1814" w:val="left"/>
        </w:tabs>
        <w:bidi w:val="0"/>
        <w:spacing w:before="0" w:after="0" w:line="240" w:lineRule="auto"/>
        <w:ind w:left="0" w:right="0" w:firstLine="0"/>
        <w:jc w:val="center"/>
      </w:pPr>
      <w:bookmarkStart w:id="0" w:name="bookmark0"/>
      <w:r>
        <w:rPr>
          <w:rStyle w:val="CharStyle10"/>
        </w:rPr>
        <w:t>1</w:t>
      </w:r>
      <w:r>
        <w:fldChar w:fldCharType="begin"/>
      </w:r>
      <w:r>
        <w:rPr/>
        <w:instrText> HYPERLINK "file://f207ca94-a13c-4ba0-b72d-f018c9eed8f1/" </w:instrText>
      </w:r>
      <w:r>
        <w:fldChar w:fldCharType="separate"/>
      </w:r>
      <w:r>
        <w:rPr>
          <w:rStyle w:val="CharStyle10"/>
        </w:rPr>
        <w:t>3.05.2026</w:t>
      </w:r>
      <w:r>
        <w:fldChar w:fldCharType="end"/>
      </w:r>
      <w:r>
        <w:rPr>
          <w:rStyle w:val="CharStyle10"/>
        </w:rPr>
        <w:tab/>
        <w:t>№ 20160/26</w:t>
      </w:r>
      <w:bookmarkEnd w:id="0"/>
    </w:p>
    <w:p>
      <w:pPr>
        <w:pStyle w:val="Style11"/>
        <w:keepNext w:val="0"/>
        <w:keepLines w:val="0"/>
        <w:widowControl w:val="0"/>
        <w:shd w:val="clear" w:color="auto" w:fill="auto"/>
        <w:bidi w:val="0"/>
        <w:spacing w:before="0" w:after="280" w:line="240" w:lineRule="auto"/>
        <w:ind w:left="0" w:right="0" w:firstLine="0"/>
        <w:jc w:val="left"/>
      </w:pPr>
      <w:r>
        <w:rPr>
          <w:rStyle w:val="CharStyle12"/>
        </w:rPr>
        <w:t>ФГБУ «ФЦМН» ФМБА России</w:t>
      </w:r>
    </w:p>
    <w:p>
      <w:pPr>
        <w:pStyle w:val="Style11"/>
        <w:keepNext w:val="0"/>
        <w:keepLines w:val="0"/>
        <w:widowControl w:val="0"/>
        <w:shd w:val="clear" w:color="auto" w:fill="auto"/>
        <w:bidi w:val="0"/>
        <w:spacing w:before="0" w:after="280" w:line="240" w:lineRule="auto"/>
        <w:ind w:left="0" w:right="0" w:firstLine="0"/>
        <w:jc w:val="left"/>
      </w:pPr>
      <w:r>
        <w:fldChar w:fldCharType="begin"/>
      </w:r>
      <w:r>
        <w:rPr/>
        <w:instrText> HYPERLINK "mailto:vlasenko.m@fccps.ru" </w:instrText>
      </w:r>
      <w:r>
        <w:fldChar w:fldCharType="separate"/>
      </w:r>
      <w:r>
        <w:rPr>
          <w:rStyle w:val="CharStyle12"/>
          <w:lang w:val="en-US" w:eastAsia="en-US"/>
        </w:rPr>
        <w:t>vlasenko.m@fccps.ru</w:t>
      </w:r>
      <w:r>
        <w:fldChar w:fldCharType="end"/>
      </w:r>
    </w:p>
    <w:p>
      <w:pPr>
        <w:pStyle w:val="Style11"/>
        <w:keepNext w:val="0"/>
        <w:keepLines w:val="0"/>
        <w:widowControl w:val="0"/>
        <w:shd w:val="clear" w:color="auto" w:fill="auto"/>
        <w:bidi w:val="0"/>
        <w:spacing w:before="0" w:after="280" w:line="240" w:lineRule="auto"/>
        <w:ind w:left="0" w:right="0" w:firstLine="0"/>
        <w:jc w:val="left"/>
      </w:pPr>
      <w:r>
        <w:rPr>
          <w:rStyle w:val="CharStyle12"/>
        </w:rPr>
        <w:t>ООО «Полимер-Рус»</w:t>
      </w:r>
    </w:p>
    <w:p>
      <w:pPr>
        <w:pStyle w:val="Style11"/>
        <w:keepNext w:val="0"/>
        <w:keepLines w:val="0"/>
        <w:widowControl w:val="0"/>
        <w:shd w:val="clear" w:color="auto" w:fill="auto"/>
        <w:bidi w:val="0"/>
        <w:spacing w:before="0" w:after="0" w:line="240" w:lineRule="auto"/>
        <w:ind w:left="0" w:right="0" w:firstLine="0"/>
        <w:jc w:val="lef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94" w:right="1678" w:bottom="617" w:left="1293" w:header="0" w:footer="3" w:gutter="0"/>
          <w:pgNumType w:start="1"/>
          <w:cols w:num="2" w:space="1296"/>
          <w:noEndnote/>
          <w:titlePg/>
          <w:rtlGutter w:val="0"/>
          <w:docGrid w:linePitch="360"/>
        </w:sectPr>
      </w:pPr>
      <w:r>
        <w:fldChar w:fldCharType="begin"/>
      </w:r>
      <w:r>
        <w:rPr/>
        <w:instrText> HYPERLINK "mailto:ruspolim111@gmail.com" </w:instrText>
      </w:r>
      <w:r>
        <w:fldChar w:fldCharType="separate"/>
      </w:r>
      <w:r>
        <w:rPr>
          <w:rStyle w:val="CharStyle12"/>
          <w:lang w:val="en-US" w:eastAsia="en-US"/>
        </w:rPr>
        <w:t>ruspolim111@gmail.com</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0" w:after="60" w:line="240" w:lineRule="exact"/>
        <w:rPr>
          <w:sz w:val="19"/>
          <w:szCs w:val="19"/>
        </w:rPr>
      </w:pPr>
    </w:p>
    <w:p>
      <w:pPr>
        <w:widowControl w:val="0"/>
        <w:spacing w:line="1" w:lineRule="exact"/>
        <w:sectPr>
          <w:footnotePr>
            <w:pos w:val="pageBottom"/>
            <w:numFmt w:val="decimal"/>
            <w:numRestart w:val="continuous"/>
          </w:footnotePr>
          <w:type w:val="continuous"/>
          <w:pgSz w:w="11900" w:h="16840"/>
          <w:pgMar w:top="685" w:right="0" w:bottom="426" w:left="0" w:header="0" w:footer="3" w:gutter="0"/>
          <w:cols w:space="720"/>
          <w:noEndnote/>
          <w:rtlGutter w:val="0"/>
          <w:docGrid w:linePitch="360"/>
        </w:sectPr>
      </w:pPr>
    </w:p>
    <w:p>
      <w:pPr>
        <w:pStyle w:val="Style11"/>
        <w:keepNext w:val="0"/>
        <w:keepLines w:val="0"/>
        <w:widowControl w:val="0"/>
        <w:shd w:val="clear" w:color="auto" w:fill="auto"/>
        <w:bidi w:val="0"/>
        <w:spacing w:before="0" w:after="0" w:line="240" w:lineRule="auto"/>
        <w:ind w:left="0" w:right="0" w:firstLine="0"/>
        <w:jc w:val="center"/>
      </w:pPr>
      <w:r>
        <w:rPr>
          <w:rStyle w:val="CharStyle12"/>
          <w:b/>
          <w:bCs/>
        </w:rPr>
        <w:t>РЕШЕНИЕ</w:t>
      </w:r>
    </w:p>
    <w:p>
      <w:pPr>
        <w:pStyle w:val="Style11"/>
        <w:keepNext w:val="0"/>
        <w:keepLines w:val="0"/>
        <w:widowControl w:val="0"/>
        <w:shd w:val="clear" w:color="auto" w:fill="auto"/>
        <w:tabs>
          <w:tab w:pos="8746" w:val="left"/>
        </w:tabs>
        <w:bidi w:val="0"/>
        <w:spacing w:before="0" w:after="0" w:line="240" w:lineRule="auto"/>
        <w:ind w:left="0" w:right="0" w:firstLine="0"/>
        <w:jc w:val="center"/>
      </w:pPr>
      <w:r>
        <w:rPr>
          <w:rStyle w:val="CharStyle12"/>
          <w:b/>
          <w:bCs/>
        </w:rPr>
        <w:t xml:space="preserve">по делу </w:t>
      </w:r>
      <w:r>
        <w:rPr>
          <w:rStyle w:val="CharStyle12"/>
          <w:b/>
          <w:bCs/>
          <w:lang w:val="en-US" w:eastAsia="en-US"/>
        </w:rPr>
        <w:t xml:space="preserve">№077/06/105-5760/2026 </w:t>
      </w:r>
      <w:r>
        <w:rPr>
          <w:rStyle w:val="CharStyle12"/>
          <w:b/>
          <w:bCs/>
        </w:rPr>
        <w:t>о нарушении</w:t>
        <w:br/>
        <w:t>законодательства о контрактной системе</w:t>
        <w:br/>
      </w:r>
      <w:r>
        <w:rPr>
          <w:rStyle w:val="CharStyle12"/>
          <w:b/>
          <w:bCs/>
          <w:lang w:val="en-US" w:eastAsia="en-US"/>
        </w:rPr>
        <w:t>07.05.2026</w:t>
        <w:tab/>
      </w:r>
      <w:r>
        <w:rPr>
          <w:rStyle w:val="CharStyle12"/>
          <w:b/>
          <w:bCs/>
        </w:rPr>
        <w:t>г. Москва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Комиссия Управления Федеральной антимонопольной службы по г. Москве по контролю в сфере закупок товаров, работ, услуг (далее </w:t>
      </w:r>
      <w:r>
        <w:rPr>
          <w:rStyle w:val="CharStyle12"/>
          <w:lang w:val="en-US" w:eastAsia="en-US"/>
        </w:rPr>
        <w:t xml:space="preserve">– </w:t>
      </w:r>
      <w:r>
        <w:rPr>
          <w:rStyle w:val="CharStyle12"/>
        </w:rPr>
        <w:t>Комиссия Управления) в составе: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Председательствующего: главного государственного инспектора отдела обжалования государственных закупок А.А. Кутейникова,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Членов Комиссии: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Главного государственного инспектора отдела обжалования государственных закупок А.А. Матюшенко</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Специалиста-эксперта отдела обжалования государственных закупок А.С. Гелмутдиновой,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рассмотрение жалобы проводилось дистанционно (посредством видео-конференц-связи),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при участии представителей: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ООО «Полимер-Рус»: Горячева А.Ю. (дов.№б/н от </w:t>
      </w:r>
      <w:r>
        <w:rPr>
          <w:rStyle w:val="CharStyle12"/>
          <w:lang w:val="en-US" w:eastAsia="en-US"/>
        </w:rPr>
        <w:t>25.02.2026),</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ФГБУ «ФЦМН» ФМБА России: Работаева Д.Е. (дов.№(05)25-613 от </w:t>
      </w:r>
      <w:r>
        <w:rPr>
          <w:rStyle w:val="CharStyle12"/>
          <w:lang w:val="en-US" w:eastAsia="en-US"/>
        </w:rPr>
        <w:t>01.06.2025),</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слушателей: Маслова С.С., Эльбер А.В.,</w:t>
      </w:r>
    </w:p>
    <w:p>
      <w:pPr>
        <w:pStyle w:val="Style11"/>
        <w:keepNext w:val="0"/>
        <w:keepLines w:val="0"/>
        <w:widowControl w:val="0"/>
        <w:shd w:val="clear" w:color="auto" w:fill="auto"/>
        <w:bidi w:val="0"/>
        <w:spacing w:before="0" w:after="180" w:line="240" w:lineRule="auto"/>
        <w:ind w:left="0" w:right="0" w:firstLine="700"/>
        <w:jc w:val="both"/>
      </w:pPr>
      <w:r>
        <w:rPr>
          <w:rStyle w:val="CharStyle12"/>
        </w:rPr>
        <w:t xml:space="preserve">рассмотрев жалобу ООО «Полимер-Рус» (далее </w:t>
      </w:r>
      <w:r>
        <w:rPr>
          <w:rStyle w:val="CharStyle12"/>
          <w:lang w:val="en-US" w:eastAsia="en-US"/>
        </w:rPr>
        <w:t xml:space="preserve">– </w:t>
      </w:r>
      <w:r>
        <w:rPr>
          <w:rStyle w:val="CharStyle12"/>
        </w:rPr>
        <w:t xml:space="preserve">Заявитель) на действия ФГБУ «ФЦМН» ФМБА России (далее </w:t>
      </w:r>
      <w:r>
        <w:rPr>
          <w:rStyle w:val="CharStyle12"/>
          <w:lang w:val="en-US" w:eastAsia="en-US"/>
        </w:rPr>
        <w:t xml:space="preserve">- </w:t>
      </w:r>
      <w:r>
        <w:rPr>
          <w:rStyle w:val="CharStyle12"/>
        </w:rPr>
        <w:t xml:space="preserve">Заказчик) при проведении открытого конкурса в электронной форме на право заключения государственного контракта на Оказание услуг по комплексному обслуживанию территории и помещений Заказчика (Закупка </w:t>
      </w:r>
      <w:r>
        <w:rPr>
          <w:rStyle w:val="CharStyle12"/>
          <w:lang w:val="en-US" w:eastAsia="en-US"/>
        </w:rPr>
        <w:t xml:space="preserve">№0373400007726000536) </w:t>
      </w:r>
      <w:r>
        <w:rPr>
          <w:rStyle w:val="CharStyle12"/>
        </w:rPr>
        <w:t xml:space="preserve">(далее </w:t>
      </w:r>
      <w:r>
        <w:rPr>
          <w:rStyle w:val="CharStyle12"/>
          <w:lang w:val="en-US" w:eastAsia="en-US"/>
        </w:rPr>
        <w:t xml:space="preserve">– </w:t>
      </w:r>
      <w:r>
        <w:rPr>
          <w:rStyle w:val="CharStyle12"/>
        </w:rPr>
        <w:t xml:space="preserve">конкурс), в соответствии с Федеральным законом от </w:t>
      </w:r>
      <w:r>
        <w:rPr>
          <w:rStyle w:val="CharStyle12"/>
          <w:lang w:val="en-US" w:eastAsia="en-US"/>
        </w:rPr>
        <w:t xml:space="preserve">05.04.2013 </w:t>
      </w:r>
      <w:r>
        <w:rPr>
          <w:rStyle w:val="CharStyle12"/>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12"/>
          <w:lang w:val="en-US" w:eastAsia="en-US"/>
        </w:rPr>
        <w:t xml:space="preserve">– </w:t>
      </w:r>
      <w:r>
        <w:rPr>
          <w:rStyle w:val="CharStyle12"/>
        </w:rPr>
        <w:t>Закон о контрактной системе),</w:t>
      </w:r>
    </w:p>
    <w:p>
      <w:pPr>
        <w:pStyle w:val="Style14"/>
        <w:keepNext/>
        <w:keepLines/>
        <w:widowControl w:val="0"/>
        <w:shd w:val="clear" w:color="auto" w:fill="auto"/>
        <w:bidi w:val="0"/>
        <w:spacing w:before="0" w:after="0" w:line="240" w:lineRule="auto"/>
        <w:ind w:left="0" w:right="0"/>
        <w:jc w:val="left"/>
      </w:pPr>
      <w:bookmarkStart w:id="2" w:name="bookmark2"/>
      <w:r>
        <w:rPr>
          <w:rStyle w:val="CharStyle15"/>
        </w:rPr>
        <w:t>IIIIIIIIIIIIIIIIIIIIIIIIIIII</w:t>
      </w:r>
      <w:bookmarkEnd w:id="2"/>
    </w:p>
    <w:p>
      <w:pPr>
        <w:pStyle w:val="Style11"/>
        <w:keepNext w:val="0"/>
        <w:keepLines w:val="0"/>
        <w:widowControl w:val="0"/>
        <w:shd w:val="clear" w:color="auto" w:fill="auto"/>
        <w:bidi w:val="0"/>
        <w:spacing w:before="0" w:after="280" w:line="240" w:lineRule="auto"/>
        <w:ind w:left="0" w:right="0" w:firstLine="0"/>
        <w:jc w:val="center"/>
      </w:pPr>
      <w:r>
        <w:rPr>
          <w:rStyle w:val="CharStyle12"/>
          <w:b/>
          <w:bCs/>
        </w:rPr>
        <w:t>УСТАНОВИЛА: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 Московское УФАС России поступила жалоба Заявителя на действия Заказчика при проведении вышеуказанного конкурса.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Заявитель обжалует действия Заказчика, выразившиеся в утверждении извещений о проведении закупочных процедур в нарушение Закона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В составе жалобы Заявитель указывает, что Заказчиком неправомерно выбран способы определения поставщиков (подрядчика, исполнителя) путем проведения открытого конкурса в электронной форме, так как Заказчиком фактически осуществляется закупка услуг по уборке и санитарным услугам, которые не соответствуют используемому Заказчиком коду по классификатору продукции по видам экономической деятельности (далее </w:t>
      </w:r>
      <w:r>
        <w:rPr>
          <w:rStyle w:val="CharStyle12"/>
          <w:lang w:val="en-US" w:eastAsia="en-US"/>
        </w:rPr>
        <w:t xml:space="preserve">— </w:t>
      </w:r>
      <w:r>
        <w:rPr>
          <w:rStyle w:val="CharStyle12"/>
        </w:rPr>
        <w:t xml:space="preserve">ОКПД2) </w:t>
      </w:r>
      <w:r>
        <w:rPr>
          <w:rStyle w:val="CharStyle12"/>
          <w:lang w:val="en-US" w:eastAsia="en-US"/>
        </w:rPr>
        <w:t xml:space="preserve">81.10.10.000 </w:t>
      </w:r>
      <w:r>
        <w:rPr>
          <w:rStyle w:val="CharStyle12"/>
        </w:rPr>
        <w:t>«Услуги по обслуживанию помещений комплексные» и подлежат закупке посредством проведения электронного аукциона.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Кроме того, в составе жалобы Заявитель указывает, что в рамках одной закупки Заказчиком неправомерно объединены услуги по обеззараживанию отходов класса Б и В и обслуживанию участка обеззараживания отходов, услуги по приему, гардеробное обслуживание, услуги по уборке территории и очистке кровли, выступающих элементов фасадов от снега и наледи, услуги по благоустройству территории, так как к данным услугам предъявляются различные квалификационные и лицензионные требования, и каждая из услуг относится к обособленному рынку услуг.</w:t>
      </w:r>
    </w:p>
    <w:p>
      <w:pPr>
        <w:pStyle w:val="Style11"/>
        <w:keepNext w:val="0"/>
        <w:keepLines w:val="0"/>
        <w:widowControl w:val="0"/>
        <w:numPr>
          <w:ilvl w:val="0"/>
          <w:numId w:val="1"/>
        </w:numPr>
        <w:shd w:val="clear" w:color="auto" w:fill="auto"/>
        <w:tabs>
          <w:tab w:pos="1091" w:val="left"/>
        </w:tabs>
        <w:bidi w:val="0"/>
        <w:spacing w:before="0" w:after="0" w:line="240" w:lineRule="auto"/>
        <w:ind w:left="0" w:right="0" w:firstLine="700"/>
        <w:jc w:val="both"/>
      </w:pPr>
      <w:r>
        <w:rPr>
          <w:rStyle w:val="CharStyle12"/>
        </w:rPr>
        <w:t xml:space="preserve">1 ст.24 Закона о контрактной системе в том числе предусмотрено, что заказчики при осуществлении закупок применяют конкурентные способы определения поставщиков (подрядчиков, исполнителей) (далее </w:t>
      </w:r>
      <w:r>
        <w:rPr>
          <w:rStyle w:val="CharStyle12"/>
          <w:lang w:val="en-US" w:eastAsia="en-US"/>
        </w:rPr>
        <w:t xml:space="preserve">- </w:t>
      </w:r>
      <w:r>
        <w:rPr>
          <w:rStyle w:val="CharStyle12"/>
        </w:rPr>
        <w:t>конкурентные способы) или осуществляют закупки у единственного поставщика (подрядчика, исполнителя).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 соответствии с ч.2 ст.24 Закона о контрактной системе конкурентными способами являются:</w:t>
      </w:r>
    </w:p>
    <w:p>
      <w:pPr>
        <w:pStyle w:val="Style11"/>
        <w:keepNext w:val="0"/>
        <w:keepLines w:val="0"/>
        <w:widowControl w:val="0"/>
        <w:numPr>
          <w:ilvl w:val="0"/>
          <w:numId w:val="1"/>
        </w:numPr>
        <w:shd w:val="clear" w:color="auto" w:fill="auto"/>
        <w:tabs>
          <w:tab w:pos="1072" w:val="left"/>
        </w:tabs>
        <w:bidi w:val="0"/>
        <w:spacing w:before="0" w:after="0" w:line="240" w:lineRule="auto"/>
        <w:ind w:left="0" w:right="0" w:firstLine="700"/>
        <w:jc w:val="both"/>
      </w:pPr>
      <w:r>
        <w:rPr>
          <w:rStyle w:val="CharStyle12"/>
        </w:rPr>
        <w:t xml:space="preserve">конкурсы (открытый конкурс в электронной форме (далее </w:t>
      </w:r>
      <w:r>
        <w:rPr>
          <w:rStyle w:val="CharStyle12"/>
          <w:lang w:val="en-US" w:eastAsia="en-US"/>
        </w:rPr>
        <w:t xml:space="preserve">- </w:t>
      </w:r>
      <w:r>
        <w:rPr>
          <w:rStyle w:val="CharStyle12"/>
        </w:rPr>
        <w:t xml:space="preserve">электронный конкурс), закрытый конкурс, закрытый конкурс в электронной форме (далее </w:t>
      </w:r>
      <w:r>
        <w:rPr>
          <w:rStyle w:val="CharStyle12"/>
          <w:lang w:val="en-US" w:eastAsia="en-US"/>
        </w:rPr>
        <w:t xml:space="preserve">- </w:t>
      </w:r>
      <w:r>
        <w:rPr>
          <w:rStyle w:val="CharStyle12"/>
        </w:rPr>
        <w:t>закрытый электронный конкурс);</w:t>
      </w:r>
    </w:p>
    <w:p>
      <w:pPr>
        <w:pStyle w:val="Style11"/>
        <w:keepNext w:val="0"/>
        <w:keepLines w:val="0"/>
        <w:widowControl w:val="0"/>
        <w:numPr>
          <w:ilvl w:val="0"/>
          <w:numId w:val="1"/>
        </w:numPr>
        <w:shd w:val="clear" w:color="auto" w:fill="auto"/>
        <w:tabs>
          <w:tab w:pos="1072" w:val="left"/>
        </w:tabs>
        <w:bidi w:val="0"/>
        <w:spacing w:before="0" w:after="0" w:line="240" w:lineRule="auto"/>
        <w:ind w:left="0" w:right="0" w:firstLine="700"/>
        <w:jc w:val="both"/>
      </w:pPr>
      <w:r>
        <w:rPr>
          <w:rStyle w:val="CharStyle12"/>
        </w:rPr>
        <w:t xml:space="preserve">аукционы (открытый аукцион в электронной форме (далее </w:t>
      </w:r>
      <w:r>
        <w:rPr>
          <w:rStyle w:val="CharStyle12"/>
          <w:lang w:val="en-US" w:eastAsia="en-US"/>
        </w:rPr>
        <w:t xml:space="preserve">- </w:t>
      </w:r>
      <w:r>
        <w:rPr>
          <w:rStyle w:val="CharStyle12"/>
        </w:rPr>
        <w:t xml:space="preserve">электронный аукцион), закрытый аукцион, закрытый аукцион в электронной форме (далее </w:t>
      </w:r>
      <w:r>
        <w:rPr>
          <w:rStyle w:val="CharStyle12"/>
          <w:lang w:val="en-US" w:eastAsia="en-US"/>
        </w:rPr>
        <w:t xml:space="preserve">- </w:t>
      </w:r>
      <w:r>
        <w:rPr>
          <w:rStyle w:val="CharStyle12"/>
        </w:rPr>
        <w:t>закрытый электронный аукцион);</w:t>
      </w:r>
    </w:p>
    <w:p>
      <w:pPr>
        <w:pStyle w:val="Style11"/>
        <w:keepNext w:val="0"/>
        <w:keepLines w:val="0"/>
        <w:widowControl w:val="0"/>
        <w:numPr>
          <w:ilvl w:val="0"/>
          <w:numId w:val="1"/>
        </w:numPr>
        <w:shd w:val="clear" w:color="auto" w:fill="auto"/>
        <w:tabs>
          <w:tab w:pos="1067" w:val="left"/>
        </w:tabs>
        <w:bidi w:val="0"/>
        <w:spacing w:before="0" w:after="0" w:line="240" w:lineRule="auto"/>
        <w:ind w:left="0" w:right="0" w:firstLine="700"/>
        <w:jc w:val="both"/>
      </w:pPr>
      <w:r>
        <w:rPr>
          <w:rStyle w:val="CharStyle12"/>
        </w:rPr>
        <w:t xml:space="preserve">запрос котировок в электронной форме (далее </w:t>
      </w:r>
      <w:r>
        <w:rPr>
          <w:rStyle w:val="CharStyle12"/>
          <w:lang w:val="en-US" w:eastAsia="en-US"/>
        </w:rPr>
        <w:t xml:space="preserve">- </w:t>
      </w:r>
      <w:r>
        <w:rPr>
          <w:rStyle w:val="CharStyle12"/>
        </w:rPr>
        <w:t>электронный запрос котировок).</w:t>
      </w:r>
    </w:p>
    <w:p>
      <w:pPr>
        <w:pStyle w:val="Style11"/>
        <w:keepNext w:val="0"/>
        <w:keepLines w:val="0"/>
        <w:widowControl w:val="0"/>
        <w:numPr>
          <w:ilvl w:val="0"/>
          <w:numId w:val="1"/>
        </w:numPr>
        <w:shd w:val="clear" w:color="auto" w:fill="auto"/>
        <w:tabs>
          <w:tab w:pos="1086" w:val="left"/>
        </w:tabs>
        <w:bidi w:val="0"/>
        <w:spacing w:before="0" w:after="0" w:line="269" w:lineRule="auto"/>
        <w:ind w:left="0" w:right="0" w:firstLine="700"/>
        <w:jc w:val="both"/>
        <w:rPr>
          <w:sz w:val="24"/>
          <w:szCs w:val="24"/>
        </w:rPr>
      </w:pPr>
      <w:r>
        <w:rPr>
          <w:rStyle w:val="CharStyle12"/>
        </w:rPr>
        <w:t xml:space="preserve">6 ст.24 Закона о контрактной системе установлено, что Заказчик, за исключением случаев осуществления закупки товаров, работ, услуг путем проведения электронного запроса котировок либо закупки у единственного поставщика (подрядчика, исполнителя), обязан осуществлять закупки товаров, </w:t>
      </w:r>
      <w:r>
        <w:rPr>
          <w:rStyle w:val="CharStyle12"/>
          <w:sz w:val="24"/>
          <w:szCs w:val="24"/>
          <w:lang w:val="en-US" w:eastAsia="en-US"/>
        </w:rPr>
        <w:t>2026-23388</w:t>
      </w:r>
    </w:p>
    <w:p>
      <w:pPr>
        <w:pStyle w:val="Style11"/>
        <w:keepNext w:val="0"/>
        <w:keepLines w:val="0"/>
        <w:widowControl w:val="0"/>
        <w:shd w:val="clear" w:color="auto" w:fill="auto"/>
        <w:bidi w:val="0"/>
        <w:spacing w:before="0" w:after="0" w:line="240" w:lineRule="auto"/>
        <w:ind w:left="0" w:right="0" w:firstLine="0"/>
        <w:jc w:val="both"/>
      </w:pPr>
      <w:r>
        <w:rPr>
          <w:rStyle w:val="CharStyle12"/>
        </w:rPr>
        <w:t>работ, услуг, включенных в перечень, установленный Правительством Российской Федерации, либо в дополнительный перечень, установленный высшим исполнительным органом субъекта Российской Федерации при осуществлении закупок товаров, работ, услуг для обеспечения нужд субъекта Российской Федерации путем проведения аукционов.</w:t>
      </w:r>
    </w:p>
    <w:p>
      <w:pPr>
        <w:pStyle w:val="Style11"/>
        <w:keepNext w:val="0"/>
        <w:keepLines w:val="0"/>
        <w:widowControl w:val="0"/>
        <w:shd w:val="clear" w:color="auto" w:fill="auto"/>
        <w:bidi w:val="0"/>
        <w:spacing w:before="0" w:after="0" w:line="240" w:lineRule="auto"/>
        <w:ind w:left="0" w:right="0" w:firstLine="700"/>
        <w:jc w:val="both"/>
      </w:pPr>
      <w:r>
        <w:rPr>
          <w:rStyle w:val="CharStyle12"/>
        </w:rPr>
        <w:t>Буквальное толкование приведенных норм права позволяет сделать вывод о том, что при выборе способа определения поставщика (подрядчика, исполнителя) Заказчик обязан осуществлять закупки товаров, работ, услуг, включенных в перечень, установленный Правительством Российской Федерации, либо в дополнительный перечень, установленный высшим исполнительным органом государственной власти субъекта Российской Федерации при осуществлении закупок товаров, работ, услуг для обеспечения нужд субъекта Российской Федерации путем проведения аукционов, при этом Комиссия Управления отмечает, что не соблюдение Заказчиком предусмотренной ч.6 ст.24 Закона о контрактной системе обязанности влечет за собой ограничение количества участников закупки.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Перечень товаров, работ, услуг, в отношении которых Заказчик обязан проводить аукцион в электронной форме, утвержден распоряжением Правительства Российской Федерации от </w:t>
      </w:r>
      <w:r>
        <w:rPr>
          <w:rStyle w:val="CharStyle12"/>
          <w:lang w:val="en-US" w:eastAsia="en-US"/>
        </w:rPr>
        <w:t xml:space="preserve">21.03.2016 № </w:t>
      </w:r>
      <w:r>
        <w:rPr>
          <w:rStyle w:val="CharStyle12"/>
        </w:rPr>
        <w:t xml:space="preserve">471-р «О перечне товаров, работ, услуг, в случае осуществления закупок которых заказчик обязан проводить аукцион в электронной форме (электронный аукцион)» (далее </w:t>
      </w:r>
      <w:r>
        <w:rPr>
          <w:rStyle w:val="CharStyle12"/>
          <w:lang w:val="en-US" w:eastAsia="en-US"/>
        </w:rPr>
        <w:t xml:space="preserve">— </w:t>
      </w:r>
      <w:r>
        <w:rPr>
          <w:rStyle w:val="CharStyle12"/>
        </w:rPr>
        <w:t>Аукционный перечень).</w:t>
      </w:r>
    </w:p>
    <w:p>
      <w:pPr>
        <w:pStyle w:val="Style11"/>
        <w:keepNext w:val="0"/>
        <w:keepLines w:val="0"/>
        <w:widowControl w:val="0"/>
        <w:shd w:val="clear" w:color="auto" w:fill="auto"/>
        <w:bidi w:val="0"/>
        <w:spacing w:before="0" w:after="0" w:line="240" w:lineRule="auto"/>
        <w:ind w:left="0" w:right="0" w:firstLine="700"/>
        <w:jc w:val="both"/>
      </w:pPr>
      <w:r>
        <w:rPr>
          <w:rStyle w:val="CharStyle12"/>
        </w:rPr>
        <w:t>Комиссией Управления установлено, что, согласно извещению об осуществлении закупки, Заказчиком закупаются, например, следующие услуги:</w:t>
      </w:r>
    </w:p>
    <w:p>
      <w:pPr>
        <w:pStyle w:val="Style11"/>
        <w:keepNext w:val="0"/>
        <w:keepLines w:val="0"/>
        <w:widowControl w:val="0"/>
        <w:numPr>
          <w:ilvl w:val="0"/>
          <w:numId w:val="3"/>
        </w:numPr>
        <w:shd w:val="clear" w:color="auto" w:fill="auto"/>
        <w:tabs>
          <w:tab w:pos="1421" w:val="left"/>
        </w:tabs>
        <w:bidi w:val="0"/>
        <w:spacing w:before="0" w:after="0" w:line="240" w:lineRule="auto"/>
        <w:ind w:left="0" w:right="0" w:firstLine="700"/>
        <w:jc w:val="both"/>
      </w:pPr>
      <w:r>
        <w:rPr>
          <w:rStyle w:val="CharStyle12"/>
        </w:rPr>
        <w:t>«Комплексная и поддерживающая уборка и обслуживание служебных помещений, специализированных служебных помещений (процедурных и перевязочных кабинетов) и мест общего пользования»;</w:t>
      </w:r>
    </w:p>
    <w:p>
      <w:pPr>
        <w:pStyle w:val="Style11"/>
        <w:keepNext w:val="0"/>
        <w:keepLines w:val="0"/>
        <w:widowControl w:val="0"/>
        <w:numPr>
          <w:ilvl w:val="0"/>
          <w:numId w:val="3"/>
        </w:numPr>
        <w:shd w:val="clear" w:color="auto" w:fill="auto"/>
        <w:tabs>
          <w:tab w:pos="1348" w:val="left"/>
        </w:tabs>
        <w:bidi w:val="0"/>
        <w:spacing w:before="0" w:after="0" w:line="240" w:lineRule="auto"/>
        <w:ind w:left="0" w:right="0" w:firstLine="700"/>
        <w:jc w:val="both"/>
      </w:pPr>
      <w:r>
        <w:rPr>
          <w:rStyle w:val="CharStyle12"/>
        </w:rPr>
        <w:t>«Гардеробное обслуживание»;</w:t>
      </w:r>
    </w:p>
    <w:p>
      <w:pPr>
        <w:pStyle w:val="Style11"/>
        <w:keepNext w:val="0"/>
        <w:keepLines w:val="0"/>
        <w:widowControl w:val="0"/>
        <w:numPr>
          <w:ilvl w:val="0"/>
          <w:numId w:val="3"/>
        </w:numPr>
        <w:shd w:val="clear" w:color="auto" w:fill="auto"/>
        <w:tabs>
          <w:tab w:pos="1348" w:val="left"/>
        </w:tabs>
        <w:bidi w:val="0"/>
        <w:spacing w:before="0" w:after="0" w:line="240" w:lineRule="auto"/>
        <w:ind w:left="0" w:right="0" w:firstLine="700"/>
        <w:jc w:val="both"/>
      </w:pPr>
      <w:r>
        <w:rPr>
          <w:rStyle w:val="CharStyle12"/>
        </w:rPr>
        <w:t>«Уход за зелеными насаждениями на территории: газон»;</w:t>
      </w:r>
    </w:p>
    <w:p>
      <w:pPr>
        <w:pStyle w:val="Style11"/>
        <w:keepNext w:val="0"/>
        <w:keepLines w:val="0"/>
        <w:widowControl w:val="0"/>
        <w:numPr>
          <w:ilvl w:val="0"/>
          <w:numId w:val="3"/>
        </w:numPr>
        <w:shd w:val="clear" w:color="auto" w:fill="auto"/>
        <w:tabs>
          <w:tab w:pos="1348" w:val="left"/>
        </w:tabs>
        <w:bidi w:val="0"/>
        <w:spacing w:before="0" w:after="0" w:line="240" w:lineRule="auto"/>
        <w:ind w:left="0" w:right="0" w:firstLine="700"/>
        <w:jc w:val="both"/>
      </w:pPr>
      <w:r>
        <w:rPr>
          <w:rStyle w:val="CharStyle12"/>
        </w:rPr>
        <w:t>«Мойка стеклянных поверхностей (альпинисты)»;</w:t>
      </w:r>
    </w:p>
    <w:p>
      <w:pPr>
        <w:pStyle w:val="Style11"/>
        <w:keepNext w:val="0"/>
        <w:keepLines w:val="0"/>
        <w:widowControl w:val="0"/>
        <w:numPr>
          <w:ilvl w:val="0"/>
          <w:numId w:val="3"/>
        </w:numPr>
        <w:shd w:val="clear" w:color="auto" w:fill="auto"/>
        <w:tabs>
          <w:tab w:pos="1421" w:val="left"/>
        </w:tabs>
        <w:bidi w:val="0"/>
        <w:spacing w:before="0" w:after="0" w:line="240" w:lineRule="auto"/>
        <w:ind w:left="0" w:right="0" w:firstLine="700"/>
        <w:jc w:val="both"/>
      </w:pPr>
      <w:r>
        <w:rPr>
          <w:rStyle w:val="CharStyle12"/>
        </w:rPr>
        <w:t>«Услуги по перемещению отходов класса Б,В до участка обеззараживание, обслуживание и перемещение отходов класса А (ТКО) из мест накопления до площадки временного хранения и обслуживание участка обеззараживания отходов»;</w:t>
      </w:r>
    </w:p>
    <w:p>
      <w:pPr>
        <w:pStyle w:val="Style11"/>
        <w:keepNext w:val="0"/>
        <w:keepLines w:val="0"/>
        <w:widowControl w:val="0"/>
        <w:numPr>
          <w:ilvl w:val="0"/>
          <w:numId w:val="3"/>
        </w:numPr>
        <w:shd w:val="clear" w:color="auto" w:fill="auto"/>
        <w:tabs>
          <w:tab w:pos="1421" w:val="left"/>
        </w:tabs>
        <w:bidi w:val="0"/>
        <w:spacing w:before="0" w:after="0" w:line="240" w:lineRule="auto"/>
        <w:ind w:left="0" w:right="0" w:firstLine="700"/>
        <w:jc w:val="both"/>
      </w:pPr>
      <w:r>
        <w:rPr>
          <w:rStyle w:val="CharStyle12"/>
        </w:rPr>
        <w:t>«Услуги по перемещению медицинских отходов класса Б из мест до площадки временного хранения и вывоза»;</w:t>
      </w:r>
    </w:p>
    <w:p>
      <w:pPr>
        <w:pStyle w:val="Style11"/>
        <w:keepNext w:val="0"/>
        <w:keepLines w:val="0"/>
        <w:widowControl w:val="0"/>
        <w:numPr>
          <w:ilvl w:val="0"/>
          <w:numId w:val="3"/>
        </w:numPr>
        <w:shd w:val="clear" w:color="auto" w:fill="auto"/>
        <w:tabs>
          <w:tab w:pos="1348" w:val="left"/>
        </w:tabs>
        <w:bidi w:val="0"/>
        <w:spacing w:before="0" w:after="0" w:line="240" w:lineRule="auto"/>
        <w:ind w:left="0" w:right="0" w:firstLine="700"/>
        <w:jc w:val="both"/>
      </w:pPr>
      <w:r>
        <w:rPr>
          <w:rStyle w:val="CharStyle12"/>
        </w:rPr>
        <w:t>«Обслуживание вертолетной площадки (зимнее)»;</w:t>
      </w:r>
    </w:p>
    <w:p>
      <w:pPr>
        <w:pStyle w:val="Style11"/>
        <w:keepNext w:val="0"/>
        <w:keepLines w:val="0"/>
        <w:widowControl w:val="0"/>
        <w:numPr>
          <w:ilvl w:val="0"/>
          <w:numId w:val="3"/>
        </w:numPr>
        <w:shd w:val="clear" w:color="auto" w:fill="auto"/>
        <w:tabs>
          <w:tab w:pos="1348" w:val="left"/>
        </w:tabs>
        <w:bidi w:val="0"/>
        <w:spacing w:before="0" w:after="0" w:line="240" w:lineRule="auto"/>
        <w:ind w:left="0" w:right="0" w:firstLine="700"/>
        <w:jc w:val="both"/>
      </w:pPr>
      <w:r>
        <w:rPr>
          <w:rStyle w:val="CharStyle12"/>
        </w:rPr>
        <w:t>«Обслуживание вертолетной площадки (летнее)»;</w:t>
      </w:r>
    </w:p>
    <w:p>
      <w:pPr>
        <w:pStyle w:val="Style11"/>
        <w:keepNext w:val="0"/>
        <w:keepLines w:val="0"/>
        <w:widowControl w:val="0"/>
        <w:numPr>
          <w:ilvl w:val="0"/>
          <w:numId w:val="3"/>
        </w:numPr>
        <w:shd w:val="clear" w:color="auto" w:fill="auto"/>
        <w:tabs>
          <w:tab w:pos="1421" w:val="left"/>
        </w:tabs>
        <w:bidi w:val="0"/>
        <w:spacing w:before="0" w:after="0" w:line="240" w:lineRule="auto"/>
        <w:ind w:left="0" w:right="0" w:firstLine="700"/>
        <w:jc w:val="both"/>
      </w:pPr>
      <w:r>
        <w:rPr>
          <w:rStyle w:val="CharStyle12"/>
        </w:rPr>
        <w:t>«Уход за зелеными насаждениями на территории: растения, размещенные в помещениях».</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При этом Комиссией Управления установлено, что в извещении об осуществлении закупки Заказчиком указано на соответствие закупаемых услуг коду ОКПД2 </w:t>
      </w:r>
      <w:r>
        <w:rPr>
          <w:rStyle w:val="CharStyle12"/>
          <w:lang w:val="en-US" w:eastAsia="en-US"/>
        </w:rPr>
        <w:t xml:space="preserve">81.10.10.000 </w:t>
      </w:r>
      <w:r>
        <w:rPr>
          <w:rStyle w:val="CharStyle12"/>
        </w:rPr>
        <w:t>«Услуги по обслуживанию помещений комплексные».</w:t>
      </w:r>
    </w:p>
    <w:p>
      <w:pPr>
        <w:pStyle w:val="Style11"/>
        <w:keepNext w:val="0"/>
        <w:keepLines w:val="0"/>
        <w:widowControl w:val="0"/>
        <w:shd w:val="clear" w:color="auto" w:fill="auto"/>
        <w:bidi w:val="0"/>
        <w:spacing w:before="0" w:after="0" w:line="276" w:lineRule="auto"/>
        <w:ind w:left="0" w:right="0" w:firstLine="700"/>
        <w:jc w:val="both"/>
        <w:rPr>
          <w:sz w:val="24"/>
          <w:szCs w:val="24"/>
        </w:rPr>
        <w:sectPr>
          <w:footnotePr>
            <w:pos w:val="pageBottom"/>
            <w:numFmt w:val="decimal"/>
            <w:numRestart w:val="continuous"/>
          </w:footnotePr>
          <w:type w:val="continuous"/>
          <w:pgSz w:w="11900" w:h="16840"/>
          <w:pgMar w:top="685" w:right="548" w:bottom="426" w:left="1105" w:header="0" w:footer="3" w:gutter="0"/>
          <w:cols w:space="720"/>
          <w:noEndnote/>
          <w:rtlGutter w:val="0"/>
          <w:docGrid w:linePitch="360"/>
        </w:sectPr>
      </w:pPr>
      <w:r>
        <w:rPr>
          <w:rStyle w:val="CharStyle12"/>
        </w:rPr>
        <w:t xml:space="preserve">На основании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w:t>
      </w:r>
      <w:r>
        <w:rPr>
          <w:rStyle w:val="CharStyle12"/>
          <w:sz w:val="24"/>
          <w:szCs w:val="24"/>
          <w:lang w:val="en-US" w:eastAsia="en-US"/>
        </w:rPr>
        <w:t>2026-23388</w:t>
      </w:r>
    </w:p>
    <w:p>
      <w:pPr>
        <w:pStyle w:val="Style11"/>
        <w:keepNext w:val="0"/>
        <w:keepLines w:val="0"/>
        <w:widowControl w:val="0"/>
        <w:shd w:val="clear" w:color="auto" w:fill="auto"/>
        <w:bidi w:val="0"/>
        <w:spacing w:before="0" w:after="0" w:line="240" w:lineRule="auto"/>
        <w:ind w:left="0" w:right="0" w:firstLine="0"/>
        <w:jc w:val="both"/>
      </w:pPr>
      <w:r>
        <w:rPr>
          <w:rStyle w:val="CharStyle12"/>
        </w:rPr>
        <w:t>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11"/>
        <w:keepNext w:val="0"/>
        <w:keepLines w:val="0"/>
        <w:widowControl w:val="0"/>
        <w:shd w:val="clear" w:color="auto" w:fill="auto"/>
        <w:bidi w:val="0"/>
        <w:spacing w:before="0" w:after="0" w:line="240" w:lineRule="auto"/>
        <w:ind w:left="0" w:right="0" w:firstLine="700"/>
        <w:jc w:val="both"/>
      </w:pPr>
      <w:r>
        <w:rPr>
          <w:rStyle w:val="CharStyle12"/>
        </w:rPr>
        <w:t>Комиссией Управления установлено, что в описании объекта в том числе указано:</w:t>
      </w:r>
    </w:p>
    <w:p>
      <w:pPr>
        <w:pStyle w:val="Style11"/>
        <w:keepNext w:val="0"/>
        <w:keepLines w:val="0"/>
        <w:widowControl w:val="0"/>
        <w:shd w:val="clear" w:color="auto" w:fill="auto"/>
        <w:bidi w:val="0"/>
        <w:spacing w:before="0" w:after="0" w:line="240" w:lineRule="auto"/>
        <w:ind w:left="0" w:right="0" w:firstLine="700"/>
        <w:jc w:val="both"/>
      </w:pPr>
      <w:r>
        <w:rPr>
          <w:rStyle w:val="CharStyle12"/>
          <w:lang w:val="en-US" w:eastAsia="en-US"/>
        </w:rPr>
        <w:t xml:space="preserve">«II. </w:t>
      </w:r>
      <w:r>
        <w:rPr>
          <w:rStyle w:val="CharStyle12"/>
        </w:rPr>
        <w:t>Состав услуг по комплексному обслуживанию территории и помещений Заказчика:</w:t>
      </w:r>
    </w:p>
    <w:p>
      <w:pPr>
        <w:pStyle w:val="Style11"/>
        <w:keepNext w:val="0"/>
        <w:keepLines w:val="0"/>
        <w:widowControl w:val="0"/>
        <w:numPr>
          <w:ilvl w:val="0"/>
          <w:numId w:val="3"/>
        </w:numPr>
        <w:shd w:val="clear" w:color="auto" w:fill="auto"/>
        <w:tabs>
          <w:tab w:pos="1421" w:val="left"/>
        </w:tabs>
        <w:bidi w:val="0"/>
        <w:spacing w:before="0" w:after="0" w:line="240" w:lineRule="auto"/>
        <w:ind w:left="0" w:right="0" w:firstLine="700"/>
        <w:jc w:val="both"/>
      </w:pPr>
      <w:r>
        <w:rPr>
          <w:rStyle w:val="CharStyle12"/>
        </w:rPr>
        <w:t>Оказание услуг по очистке кровли, выступающих элементов фасадов от снега и наледи;</w:t>
      </w:r>
    </w:p>
    <w:p>
      <w:pPr>
        <w:pStyle w:val="Style11"/>
        <w:keepNext w:val="0"/>
        <w:keepLines w:val="0"/>
        <w:widowControl w:val="0"/>
        <w:numPr>
          <w:ilvl w:val="0"/>
          <w:numId w:val="3"/>
        </w:numPr>
        <w:shd w:val="clear" w:color="auto" w:fill="auto"/>
        <w:tabs>
          <w:tab w:pos="1421" w:val="left"/>
        </w:tabs>
        <w:bidi w:val="0"/>
        <w:spacing w:before="0" w:after="0" w:line="240" w:lineRule="auto"/>
        <w:ind w:left="0" w:right="0" w:firstLine="700"/>
        <w:jc w:val="both"/>
      </w:pPr>
      <w:r>
        <w:rPr>
          <w:rStyle w:val="CharStyle12"/>
        </w:rPr>
        <w:t>Услуги по ручной и механизированной уборке прилегающей территории Центра;</w:t>
      </w:r>
    </w:p>
    <w:p>
      <w:pPr>
        <w:pStyle w:val="Style11"/>
        <w:keepNext w:val="0"/>
        <w:keepLines w:val="0"/>
        <w:widowControl w:val="0"/>
        <w:numPr>
          <w:ilvl w:val="0"/>
          <w:numId w:val="3"/>
        </w:numPr>
        <w:shd w:val="clear" w:color="auto" w:fill="auto"/>
        <w:tabs>
          <w:tab w:pos="1421" w:val="left"/>
        </w:tabs>
        <w:bidi w:val="0"/>
        <w:spacing w:before="0" w:after="0" w:line="240" w:lineRule="auto"/>
        <w:ind w:left="0" w:right="0" w:firstLine="700"/>
        <w:jc w:val="both"/>
      </w:pPr>
      <w:r>
        <w:rPr>
          <w:rStyle w:val="CharStyle12"/>
        </w:rPr>
        <w:t>Благоустройство территории и уход за зелеными насаждениями на территории и в помещениях;</w:t>
      </w:r>
    </w:p>
    <w:p>
      <w:pPr>
        <w:pStyle w:val="Style11"/>
        <w:keepNext w:val="0"/>
        <w:keepLines w:val="0"/>
        <w:widowControl w:val="0"/>
        <w:numPr>
          <w:ilvl w:val="0"/>
          <w:numId w:val="3"/>
        </w:numPr>
        <w:shd w:val="clear" w:color="auto" w:fill="auto"/>
        <w:tabs>
          <w:tab w:pos="1421" w:val="left"/>
        </w:tabs>
        <w:bidi w:val="0"/>
        <w:spacing w:before="0" w:after="0" w:line="240" w:lineRule="auto"/>
        <w:ind w:left="0" w:right="0" w:firstLine="700"/>
        <w:jc w:val="both"/>
      </w:pPr>
      <w:r>
        <w:rPr>
          <w:rStyle w:val="CharStyle12"/>
        </w:rPr>
        <w:t>Услуги по приему, хранению и выдаче вещей пациентов и посетителей Центра;</w:t>
      </w:r>
    </w:p>
    <w:p>
      <w:pPr>
        <w:pStyle w:val="Style11"/>
        <w:keepNext w:val="0"/>
        <w:keepLines w:val="0"/>
        <w:widowControl w:val="0"/>
        <w:numPr>
          <w:ilvl w:val="0"/>
          <w:numId w:val="3"/>
        </w:numPr>
        <w:shd w:val="clear" w:color="auto" w:fill="auto"/>
        <w:tabs>
          <w:tab w:pos="1421" w:val="left"/>
        </w:tabs>
        <w:bidi w:val="0"/>
        <w:spacing w:before="0" w:after="0" w:line="240" w:lineRule="auto"/>
        <w:ind w:left="0" w:right="0" w:firstLine="700"/>
        <w:jc w:val="both"/>
      </w:pPr>
      <w:r>
        <w:rPr>
          <w:rStyle w:val="CharStyle12"/>
        </w:rPr>
        <w:t>Услуги по перемещению отходов класса Б и В и обслуживание участка обеззараживания отходов, а также обращение с пищевыми отходами и ТКО (отходы класса А), вывозу мусора;</w:t>
      </w:r>
    </w:p>
    <w:p>
      <w:pPr>
        <w:pStyle w:val="Style11"/>
        <w:keepNext w:val="0"/>
        <w:keepLines w:val="0"/>
        <w:widowControl w:val="0"/>
        <w:numPr>
          <w:ilvl w:val="0"/>
          <w:numId w:val="3"/>
        </w:numPr>
        <w:shd w:val="clear" w:color="auto" w:fill="auto"/>
        <w:tabs>
          <w:tab w:pos="1421" w:val="left"/>
        </w:tabs>
        <w:bidi w:val="0"/>
        <w:spacing w:before="0" w:after="0" w:line="240" w:lineRule="auto"/>
        <w:ind w:left="0" w:right="0" w:firstLine="700"/>
        <w:jc w:val="both"/>
      </w:pPr>
      <w:r>
        <w:rPr>
          <w:rStyle w:val="CharStyle12"/>
        </w:rPr>
        <w:t>Предоставление во временное пользование грязеулавливающих покрытий на входных группах и их своевременная замена;</w:t>
      </w:r>
    </w:p>
    <w:p>
      <w:pPr>
        <w:pStyle w:val="Style11"/>
        <w:keepNext w:val="0"/>
        <w:keepLines w:val="0"/>
        <w:widowControl w:val="0"/>
        <w:numPr>
          <w:ilvl w:val="0"/>
          <w:numId w:val="3"/>
        </w:numPr>
        <w:shd w:val="clear" w:color="auto" w:fill="auto"/>
        <w:tabs>
          <w:tab w:pos="1421" w:val="left"/>
        </w:tabs>
        <w:bidi w:val="0"/>
        <w:spacing w:before="0" w:after="0" w:line="240" w:lineRule="auto"/>
        <w:ind w:left="0" w:right="0" w:firstLine="700"/>
        <w:jc w:val="both"/>
      </w:pPr>
      <w:r>
        <w:rPr>
          <w:rStyle w:val="CharStyle12"/>
        </w:rPr>
        <w:t>Комплексная и поддерживающая уборка и обслуживание служебных помещений, специализированных служебных помещений (процедурных и перевязочных кабинетов) и мест общего пользования, ЦСО, прачечной, пищеблока, дез. камерного отделения, пункта по обеззараживанию отходов класса Б и В».</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На заседании Комиссии Управления представитель Заказчика пояснил, что Заказчиком закупается единый комплекс услуг направленных на обслуживание помещений и территорий Заказчика, в связи с чем данная комплексная услуга в полной мере соответствует коду ОКПД2 </w:t>
      </w:r>
      <w:r>
        <w:rPr>
          <w:rStyle w:val="CharStyle12"/>
          <w:lang w:val="en-US" w:eastAsia="en-US"/>
        </w:rPr>
        <w:t xml:space="preserve">81.10.10.000 </w:t>
      </w:r>
      <w:r>
        <w:rPr>
          <w:rStyle w:val="CharStyle12"/>
        </w:rPr>
        <w:t>«Услуги по обслуживанию</w:t>
      </w:r>
    </w:p>
    <w:p>
      <w:pPr>
        <w:pStyle w:val="Style11"/>
        <w:keepNext w:val="0"/>
        <w:keepLines w:val="0"/>
        <w:widowControl w:val="0"/>
        <w:shd w:val="clear" w:color="auto" w:fill="auto"/>
        <w:bidi w:val="0"/>
        <w:spacing w:before="0" w:after="0" w:line="240" w:lineRule="auto"/>
        <w:ind w:left="0" w:right="0" w:firstLine="0"/>
        <w:jc w:val="both"/>
      </w:pPr>
      <w:r>
        <w:rPr>
          <w:rStyle w:val="CharStyle12"/>
        </w:rPr>
        <w:t>помещений комплексные», который не включен в Аукционный перечень.</w:t>
      </w:r>
    </w:p>
    <w:p>
      <w:pPr>
        <w:pStyle w:val="Style11"/>
        <w:keepNext w:val="0"/>
        <w:keepLines w:val="0"/>
        <w:widowControl w:val="0"/>
        <w:shd w:val="clear" w:color="auto" w:fill="auto"/>
        <w:bidi w:val="0"/>
        <w:spacing w:before="0" w:after="0" w:line="240" w:lineRule="auto"/>
        <w:ind w:left="0" w:right="0" w:firstLine="700"/>
        <w:jc w:val="both"/>
      </w:pPr>
      <w:r>
        <w:rPr>
          <w:rStyle w:val="CharStyle12"/>
        </w:rPr>
        <w:t>Комиссия Управления отмечает, что при избрании способа определения поставщика определяющим фактором является предмет государственного контракта, который, в свою очередь, соотносится с позициями кодов ОКПД2.</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Выбор конкретного кода ОКПД2 основан на оценке подлежащих описанию требуемых услуг, а процесс описания услуг связан с полнотой и достоверностью сведений об услугах (определенного набора сведений, соответствующих либо не соответствующих действительности). Правовое значение для классификации услуг имеет их разграничение (критерии разграничения) по позициям ОКПД2.</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Комиссией Управления, что используемый Заказчиком код ОКПД2 </w:t>
      </w:r>
      <w:r>
        <w:rPr>
          <w:rStyle w:val="CharStyle12"/>
          <w:lang w:val="en-US" w:eastAsia="en-US"/>
        </w:rPr>
        <w:t xml:space="preserve">81.10.10.000 </w:t>
      </w:r>
      <w:r>
        <w:rPr>
          <w:rStyle w:val="CharStyle12"/>
        </w:rPr>
        <w:t xml:space="preserve">«Услуги по обслуживанию помещений комплексные» включен в вид кодов ОКПД2 </w:t>
      </w:r>
      <w:r>
        <w:rPr>
          <w:rStyle w:val="CharStyle12"/>
          <w:lang w:val="en-US" w:eastAsia="en-US"/>
        </w:rPr>
        <w:t xml:space="preserve">81.10.10 </w:t>
      </w:r>
      <w:r>
        <w:rPr>
          <w:rStyle w:val="CharStyle12"/>
        </w:rPr>
        <w:t>«Услуги по комплексному обслуживанию помещений», который содержит следующее описание: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«Эта группировка включает:</w:t>
      </w:r>
    </w:p>
    <w:p>
      <w:pPr>
        <w:pStyle w:val="Style11"/>
        <w:keepNext w:val="0"/>
        <w:keepLines w:val="0"/>
        <w:widowControl w:val="0"/>
        <w:numPr>
          <w:ilvl w:val="0"/>
          <w:numId w:val="3"/>
        </w:numPr>
        <w:shd w:val="clear" w:color="auto" w:fill="auto"/>
        <w:tabs>
          <w:tab w:pos="1421" w:val="left"/>
        </w:tabs>
        <w:bidi w:val="0"/>
        <w:spacing w:before="0" w:after="0" w:line="240" w:lineRule="auto"/>
        <w:ind w:left="0" w:right="0" w:firstLine="700"/>
        <w:jc w:val="both"/>
      </w:pPr>
      <w:r>
        <w:rPr>
          <w:rStyle w:val="CharStyle12"/>
        </w:rPr>
        <w:t>предоставление комплексных услуг по обслуживанию помещений клиента, таких как общая уборка, техническое обслуживание, вывоз мусора, обеспечение охраны и безопасности, доставка почты, услуги службы приема, услуги прачечных и т.д.</w:t>
      </w:r>
    </w:p>
    <w:p>
      <w:pPr>
        <w:pStyle w:val="Style11"/>
        <w:keepNext w:val="0"/>
        <w:keepLines w:val="0"/>
        <w:widowControl w:val="0"/>
        <w:shd w:val="clear" w:color="auto" w:fill="auto"/>
        <w:bidi w:val="0"/>
        <w:spacing w:before="0" w:after="0" w:line="240" w:lineRule="auto"/>
        <w:ind w:left="0" w:right="0" w:firstLine="700"/>
        <w:jc w:val="both"/>
      </w:pPr>
      <w:r>
        <w:rPr>
          <w:rStyle w:val="CharStyle12"/>
        </w:rPr>
        <w:t>Эта группировка не включает:</w:t>
      </w:r>
    </w:p>
    <w:p>
      <w:pPr>
        <w:pStyle w:val="Style11"/>
        <w:keepNext w:val="0"/>
        <w:keepLines w:val="0"/>
        <w:widowControl w:val="0"/>
        <w:numPr>
          <w:ilvl w:val="0"/>
          <w:numId w:val="3"/>
        </w:numPr>
        <w:shd w:val="clear" w:color="auto" w:fill="auto"/>
        <w:tabs>
          <w:tab w:pos="1421" w:val="left"/>
        </w:tabs>
        <w:bidi w:val="0"/>
        <w:spacing w:before="0" w:after="0" w:line="240" w:lineRule="auto"/>
        <w:ind w:left="0" w:right="0" w:firstLine="700"/>
        <w:jc w:val="both"/>
      </w:pPr>
      <w:r>
        <w:rPr>
          <w:rStyle w:val="CharStyle12"/>
        </w:rPr>
        <w:t>предоставление только одной из вспомогательных услуг (например, услуги по общей уборке), см. соответствующий класс согласно предоставляемой услуге;</w:t>
      </w:r>
    </w:p>
    <w:p>
      <w:pPr>
        <w:pStyle w:val="Style11"/>
        <w:keepNext w:val="0"/>
        <w:keepLines w:val="0"/>
        <w:widowControl w:val="0"/>
        <w:numPr>
          <w:ilvl w:val="0"/>
          <w:numId w:val="3"/>
        </w:numPr>
        <w:shd w:val="clear" w:color="auto" w:fill="auto"/>
        <w:tabs>
          <w:tab w:pos="1421" w:val="left"/>
        </w:tabs>
        <w:bidi w:val="0"/>
        <w:spacing w:before="0" w:after="0" w:line="240" w:lineRule="auto"/>
        <w:ind w:left="0" w:right="0" w:firstLine="700"/>
        <w:jc w:val="both"/>
      </w:pPr>
      <w:r>
        <w:rPr>
          <w:rStyle w:val="CharStyle12"/>
        </w:rPr>
        <w:t>предоставление услуг управленческого и обслуживающего персонала для полного обеспечения жизнедеятельности предприятия клиента, такого как гостиница, ресторан, шахта или больница, см. класс, к которому причислено управляемое подразделение».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Исходя из вышеизложенного вид кодов ОКПД2 </w:t>
      </w:r>
      <w:r>
        <w:rPr>
          <w:rStyle w:val="CharStyle12"/>
          <w:lang w:val="en-US" w:eastAsia="en-US"/>
        </w:rPr>
        <w:t xml:space="preserve">81.10.10 </w:t>
      </w:r>
      <w:r>
        <w:rPr>
          <w:rStyle w:val="CharStyle12"/>
        </w:rPr>
        <w:t>не подлежит применению в случае предоставления услуг управленческого и обслуживающего персонала для полного обеспечения жизнедеятельности предприятия клиента, а также в случае закупки обособленных услуг.</w:t>
      </w:r>
    </w:p>
    <w:p>
      <w:pPr>
        <w:pStyle w:val="Style11"/>
        <w:keepNext w:val="0"/>
        <w:keepLines w:val="0"/>
        <w:widowControl w:val="0"/>
        <w:shd w:val="clear" w:color="auto" w:fill="auto"/>
        <w:bidi w:val="0"/>
        <w:spacing w:before="0" w:after="0" w:line="240" w:lineRule="auto"/>
        <w:ind w:left="0" w:right="0" w:firstLine="700"/>
        <w:jc w:val="both"/>
      </w:pPr>
      <w:r>
        <w:rPr>
          <w:rStyle w:val="CharStyle12"/>
        </w:rPr>
        <w:t>Вместе с этим, как установлено Комиссией Управления, в рамках оспариваемой конкурентной процедуры Заказчиком закупается комплекс услуг, состоящий из нескольких услуг, направленных на обслуживание зданий, помещений Заказчика.</w:t>
      </w:r>
    </w:p>
    <w:p>
      <w:pPr>
        <w:pStyle w:val="Style11"/>
        <w:keepNext w:val="0"/>
        <w:keepLines w:val="0"/>
        <w:widowControl w:val="0"/>
        <w:shd w:val="clear" w:color="auto" w:fill="auto"/>
        <w:bidi w:val="0"/>
        <w:spacing w:before="0" w:after="0" w:line="240" w:lineRule="auto"/>
        <w:ind w:left="0" w:right="0" w:firstLine="700"/>
        <w:jc w:val="both"/>
      </w:pPr>
      <w:r>
        <w:rPr>
          <w:rStyle w:val="CharStyle12"/>
        </w:rPr>
        <w:t xml:space="preserve">Таким образом, Комиссия Управления приходит к выводу, что указание в извещении об осуществлении закупки на соответствие закупаемых услуг коду </w:t>
      </w:r>
      <w:r>
        <w:rPr>
          <w:rStyle w:val="CharStyle12"/>
          <w:lang w:val="en-US" w:eastAsia="en-US"/>
        </w:rPr>
        <w:t xml:space="preserve">81.10.10.000 </w:t>
      </w:r>
      <w:r>
        <w:rPr>
          <w:rStyle w:val="CharStyle12"/>
        </w:rPr>
        <w:t>«Услуги по обслуживанию помещений комплексные» не противоречит положениям Закона о контрактной системе, в связи с чем объединение данных услуг в рамках определения поставщика посредством проведения открытого конкурса в электронной форме также не противоречит положениям Закона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на заседании Комиссии Управления представителем Заявителя, а также в</w:t>
      </w:r>
      <w:r>
        <w:br w:type="page"/>
      </w:r>
    </w:p>
    <w:p>
      <w:pPr>
        <w:pStyle w:val="Style11"/>
        <w:keepNext w:val="0"/>
        <w:keepLines w:val="0"/>
        <w:widowControl w:val="0"/>
        <w:shd w:val="clear" w:color="auto" w:fill="auto"/>
        <w:bidi w:val="0"/>
        <w:spacing w:before="0" w:after="0" w:line="240" w:lineRule="auto"/>
        <w:ind w:left="0" w:right="0" w:firstLine="0"/>
        <w:jc w:val="both"/>
      </w:pPr>
      <w:r>
        <w:rPr>
          <w:rStyle w:val="CharStyle12"/>
        </w:rPr>
        <w:t xml:space="preserve">составе жалобы Заявителем, не представлено документов и сведений, однозначно свидетельствующих о несоответствии закупаемого Заказчиком комплекса услуг коду </w:t>
      </w:r>
      <w:r>
        <w:rPr>
          <w:rStyle w:val="CharStyle12"/>
          <w:lang w:val="en-US" w:eastAsia="en-US"/>
        </w:rPr>
        <w:t xml:space="preserve">81.10.10.000 </w:t>
      </w:r>
      <w:r>
        <w:rPr>
          <w:rStyle w:val="CharStyle12"/>
        </w:rPr>
        <w:t>«Услуги по обслуживанию помещений комплексные», а объединение таких услуг в рамках одного лота повлекло за собой ограничение количества участников закупки,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11"/>
        <w:keepNext w:val="0"/>
        <w:keepLines w:val="0"/>
        <w:widowControl w:val="0"/>
        <w:shd w:val="clear" w:color="auto" w:fill="auto"/>
        <w:bidi w:val="0"/>
        <w:spacing w:before="0" w:after="0" w:line="240" w:lineRule="auto"/>
        <w:ind w:left="0" w:right="0" w:firstLine="700"/>
        <w:jc w:val="both"/>
      </w:pPr>
      <w:r>
        <w:rPr>
          <w:rStyle w:val="CharStyle12"/>
        </w:rPr>
        <w:t>Иного на заседании Комиссии Управления не выявлено.</w:t>
      </w:r>
    </w:p>
    <w:p>
      <w:pPr>
        <w:pStyle w:val="Style11"/>
        <w:keepNext w:val="0"/>
        <w:keepLines w:val="0"/>
        <w:widowControl w:val="0"/>
        <w:shd w:val="clear" w:color="auto" w:fill="auto"/>
        <w:bidi w:val="0"/>
        <w:spacing w:before="0" w:after="0" w:line="240" w:lineRule="auto"/>
        <w:ind w:left="0" w:right="0" w:firstLine="700"/>
        <w:jc w:val="both"/>
      </w:pPr>
      <w:r>
        <w:rPr>
          <w:rStyle w:val="CharStyle12"/>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11"/>
        <w:keepNext w:val="0"/>
        <w:keepLines w:val="0"/>
        <w:widowControl w:val="0"/>
        <w:shd w:val="clear" w:color="auto" w:fill="auto"/>
        <w:bidi w:val="0"/>
        <w:spacing w:before="0" w:after="280" w:line="240" w:lineRule="auto"/>
        <w:ind w:left="0" w:right="0" w:firstLine="700"/>
        <w:jc w:val="both"/>
      </w:pPr>
      <w:r>
        <w:rPr>
          <w:rStyle w:val="CharStyle12"/>
        </w:rPr>
        <w:t>Исследовав представленные материалы, руководствуясь Законом о контрактной системе, Комиссия Управления</w:t>
      </w:r>
    </w:p>
    <w:p>
      <w:pPr>
        <w:pStyle w:val="Style11"/>
        <w:keepNext w:val="0"/>
        <w:keepLines w:val="0"/>
        <w:widowControl w:val="0"/>
        <w:shd w:val="clear" w:color="auto" w:fill="auto"/>
        <w:bidi w:val="0"/>
        <w:spacing w:before="0" w:after="280" w:line="240" w:lineRule="auto"/>
        <w:ind w:left="0" w:right="0" w:firstLine="0"/>
        <w:jc w:val="center"/>
      </w:pPr>
      <w:r>
        <w:rPr>
          <w:rStyle w:val="CharStyle12"/>
          <w:b/>
          <w:bCs/>
        </w:rPr>
        <w:t>РЕШИЛА:</w:t>
      </w:r>
    </w:p>
    <w:p>
      <w:pPr>
        <w:pStyle w:val="Style11"/>
        <w:keepNext w:val="0"/>
        <w:keepLines w:val="0"/>
        <w:widowControl w:val="0"/>
        <w:numPr>
          <w:ilvl w:val="0"/>
          <w:numId w:val="5"/>
        </w:numPr>
        <w:shd w:val="clear" w:color="auto" w:fill="auto"/>
        <w:tabs>
          <w:tab w:pos="1411" w:val="left"/>
        </w:tabs>
        <w:bidi w:val="0"/>
        <w:spacing w:before="0" w:after="0" w:line="240" w:lineRule="auto"/>
        <w:ind w:left="0" w:right="0" w:firstLine="700"/>
        <w:jc w:val="both"/>
      </w:pPr>
      <w:r>
        <w:rPr>
          <w:rStyle w:val="CharStyle12"/>
        </w:rPr>
        <w:t>Признать жалобу ООО «Полимер-Рус» на действия ФГБУ «ФЦМН» ФМБА России необоснованной.</w:t>
      </w:r>
    </w:p>
    <w:p>
      <w:pPr>
        <w:pStyle w:val="Style11"/>
        <w:keepNext w:val="0"/>
        <w:keepLines w:val="0"/>
        <w:widowControl w:val="0"/>
        <w:numPr>
          <w:ilvl w:val="0"/>
          <w:numId w:val="5"/>
        </w:numPr>
        <w:shd w:val="clear" w:color="auto" w:fill="auto"/>
        <w:tabs>
          <w:tab w:pos="1411" w:val="left"/>
        </w:tabs>
        <w:bidi w:val="0"/>
        <w:spacing w:before="0" w:after="220" w:line="240" w:lineRule="auto"/>
        <w:ind w:left="0" w:right="0" w:firstLine="700"/>
        <w:jc w:val="both"/>
      </w:pPr>
      <w:r>
        <w:rPr>
          <w:rStyle w:val="CharStyle12"/>
        </w:rPr>
        <w:t>Снять ограничения, наложенные на определение поставщика (подрядчика, исполнителя).</w:t>
      </w:r>
    </w:p>
    <w:p>
      <w:pPr>
        <w:pStyle w:val="Style11"/>
        <w:keepNext w:val="0"/>
        <w:keepLines w:val="0"/>
        <w:widowControl w:val="0"/>
        <w:shd w:val="clear" w:color="auto" w:fill="auto"/>
        <w:bidi w:val="0"/>
        <w:spacing w:before="0" w:after="0" w:line="252" w:lineRule="auto"/>
        <w:ind w:left="0" w:right="0" w:firstLine="700"/>
        <w:jc w:val="both"/>
      </w:pPr>
      <w:r>
        <w:rPr>
          <w:rStyle w:val="CharStyle12"/>
        </w:rPr>
        <w:t xml:space="preserve">Решение может быть обжаловано в судебном порядке в Арбитражном суде г. Москвы в течение </w:t>
      </w:r>
      <w:r>
        <w:rPr>
          <w:rStyle w:val="CharStyle12"/>
          <w:lang w:val="en-US" w:eastAsia="en-US"/>
        </w:rPr>
        <w:t xml:space="preserve">3 </w:t>
      </w:r>
      <w:r>
        <w:rPr>
          <w:rStyle w:val="CharStyle12"/>
        </w:rPr>
        <w:t xml:space="preserve">(трех) месяцев с даты его принятия в порядке, установленном гл. </w:t>
      </w:r>
      <w:r>
        <w:rPr>
          <w:rStyle w:val="CharStyle12"/>
          <w:lang w:val="en-US" w:eastAsia="en-US"/>
        </w:rPr>
        <w:t xml:space="preserve">24 </w:t>
      </w:r>
      <w:r>
        <w:rPr>
          <w:rStyle w:val="CharStyle12"/>
        </w:rPr>
        <w:t>АПК РФ.</w:t>
      </w:r>
    </w:p>
    <w:p>
      <w:pPr>
        <w:widowControl w:val="0"/>
        <w:spacing w:line="1" w:lineRule="exact"/>
        <w:sectPr>
          <w:headerReference w:type="default" r:id="rId11"/>
          <w:footerReference w:type="default" r:id="rId12"/>
          <w:footnotePr>
            <w:pos w:val="pageBottom"/>
            <w:numFmt w:val="decimal"/>
            <w:numRestart w:val="continuous"/>
          </w:footnotePr>
          <w:pgSz w:w="11900" w:h="16840"/>
          <w:pgMar w:top="1162" w:right="537" w:bottom="1114" w:left="1101" w:header="0" w:footer="3" w:gutter="0"/>
          <w:cols w:space="720"/>
          <w:noEndnote/>
          <w:rtlGutter w:val="0"/>
          <w:docGrid w:linePitch="360"/>
        </w:sectPr>
      </w:pPr>
      <w:r>
        <mc:AlternateContent>
          <mc:Choice Requires="wps">
            <w:drawing>
              <wp:anchor distT="127000" distB="167640" distL="0" distR="0" simplePos="0" relativeHeight="125829378" behindDoc="0" locked="0" layoutInCell="1" allowOverlap="1">
                <wp:simplePos x="0" y="0"/>
                <wp:positionH relativeFrom="page">
                  <wp:posOffset>735330</wp:posOffset>
                </wp:positionH>
                <wp:positionV relativeFrom="paragraph">
                  <wp:posOffset>127000</wp:posOffset>
                </wp:positionV>
                <wp:extent cx="1880870" cy="252730"/>
                <wp:wrapTopAndBottom/>
                <wp:docPr id="10" name="Shape 10"/>
                <a:graphic xmlns:a="http://schemas.openxmlformats.org/drawingml/2006/main">
                  <a:graphicData uri="http://schemas.microsoft.com/office/word/2010/wordprocessingShape">
                    <wps:wsp>
                      <wps:cNvSpPr txBox="1"/>
                      <wps:spPr>
                        <a:xfrm>
                          <a:ext cx="1880870"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Председательствующий</w:t>
                            </w:r>
                          </w:p>
                        </w:txbxContent>
                      </wps:txbx>
                      <wps:bodyPr wrap="none" lIns="0" tIns="0" rIns="0" bIns="0">
                        <a:noAutoFit/>
                      </wps:bodyPr>
                    </wps:wsp>
                  </a:graphicData>
                </a:graphic>
              </wp:anchor>
            </w:drawing>
          </mc:Choice>
          <mc:Fallback>
            <w:pict>
              <v:shape id="_x0000_s1036" type="#_x0000_t202" style="position:absolute;margin-left:57.899999999999999pt;margin-top:10.pt;width:148.09999999999999pt;height:19.900000000000002pt;z-index:-125829375;mso-wrap-distance-left:0;mso-wrap-distance-top:10.pt;mso-wrap-distance-right:0;mso-wrap-distance-bottom:13.20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left"/>
                      </w:pPr>
                      <w:r>
                        <w:rPr>
                          <w:rStyle w:val="CharStyle12"/>
                        </w:rPr>
                        <w:t>Председательствующий</w:t>
                      </w:r>
                    </w:p>
                  </w:txbxContent>
                </v:textbox>
                <w10:wrap type="topAndBottom" anchorx="page"/>
              </v:shape>
            </w:pict>
          </mc:Fallback>
        </mc:AlternateContent>
      </w:r>
      <w:r>
        <mc:AlternateContent>
          <mc:Choice Requires="wps">
            <w:drawing>
              <wp:anchor distT="288290" distB="0" distL="0" distR="0" simplePos="0" relativeHeight="125829380" behindDoc="0" locked="0" layoutInCell="1" allowOverlap="1">
                <wp:simplePos x="0" y="0"/>
                <wp:positionH relativeFrom="page">
                  <wp:posOffset>3524250</wp:posOffset>
                </wp:positionH>
                <wp:positionV relativeFrom="paragraph">
                  <wp:posOffset>288290</wp:posOffset>
                </wp:positionV>
                <wp:extent cx="1722120" cy="259080"/>
                <wp:wrapTopAndBottom/>
                <wp:docPr id="12" name="Shape 12"/>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8" type="#_x0000_t202" style="position:absolute;margin-left:277.5pt;margin-top:22.699999999999999pt;width:135.59999999999999pt;height:20.400000000000002pt;z-index:-125829373;mso-wrap-distance-left:0;mso-wrap-distance-top:22.699999999999999pt;mso-wrap-distance-right:0;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rStyle w:val="CharStyle18"/>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127000" distB="167640" distL="0" distR="0" simplePos="0" relativeHeight="125829382" behindDoc="0" locked="0" layoutInCell="1" allowOverlap="1">
                <wp:simplePos x="0" y="0"/>
                <wp:positionH relativeFrom="page">
                  <wp:posOffset>5904865</wp:posOffset>
                </wp:positionH>
                <wp:positionV relativeFrom="paragraph">
                  <wp:posOffset>127000</wp:posOffset>
                </wp:positionV>
                <wp:extent cx="1307465" cy="252730"/>
                <wp:wrapTopAndBottom/>
                <wp:docPr id="14" name="Shape 14"/>
                <a:graphic xmlns:a="http://schemas.openxmlformats.org/drawingml/2006/main">
                  <a:graphicData uri="http://schemas.microsoft.com/office/word/2010/wordprocessingShape">
                    <wps:wsp>
                      <wps:cNvSpPr txBox="1"/>
                      <wps:spPr>
                        <a:xfrm>
                          <a:ext cx="1307465" cy="252730"/>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А.А. Кутейников</w:t>
                            </w:r>
                          </w:p>
                        </w:txbxContent>
                      </wps:txbx>
                      <wps:bodyPr wrap="none" lIns="0" tIns="0" rIns="0" bIns="0">
                        <a:noAutoFit/>
                      </wps:bodyPr>
                    </wps:wsp>
                  </a:graphicData>
                </a:graphic>
              </wp:anchor>
            </w:drawing>
          </mc:Choice>
          <mc:Fallback>
            <w:pict>
              <v:shape id="_x0000_s1040" type="#_x0000_t202" style="position:absolute;margin-left:464.94999999999999pt;margin-top:10.pt;width:102.95pt;height:19.900000000000002pt;z-index:-125829371;mso-wrap-distance-left:0;mso-wrap-distance-top:10.pt;mso-wrap-distance-right:0;mso-wrap-distance-bottom:13.200000000000001pt;mso-position-horizontal-relative:page" filled="f" stroked="f">
                <v:textbox inset="0,0,0,0">
                  <w:txbxContent>
                    <w:p>
                      <w:pPr>
                        <w:pStyle w:val="Style11"/>
                        <w:keepNext w:val="0"/>
                        <w:keepLines w:val="0"/>
                        <w:widowControl w:val="0"/>
                        <w:shd w:val="clear" w:color="auto" w:fill="auto"/>
                        <w:bidi w:val="0"/>
                        <w:spacing w:before="0" w:after="0" w:line="240" w:lineRule="auto"/>
                        <w:ind w:left="0" w:right="0" w:firstLine="0"/>
                        <w:jc w:val="right"/>
                      </w:pPr>
                      <w:r>
                        <w:rPr>
                          <w:rStyle w:val="CharStyle12"/>
                        </w:rPr>
                        <w:t>А.А. Кутейников</w:t>
                      </w:r>
                    </w:p>
                  </w:txbxContent>
                </v:textbox>
                <w10:wrap type="topAndBottom" anchorx="page"/>
              </v:shape>
            </w:pict>
          </mc:Fallback>
        </mc:AlternateContent>
      </w:r>
    </w:p>
    <w:p>
      <w:pPr>
        <w:pStyle w:val="Style1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520" w:right="0" w:firstLine="0"/>
        <w:jc w:val="left"/>
        <w:rPr>
          <w:sz w:val="12"/>
          <w:szCs w:val="12"/>
        </w:rPr>
      </w:pPr>
      <w:r>
        <w:rPr>
          <w:rStyle w:val="CharStyle18"/>
          <w:color w:val="FFFFFF"/>
          <w:sz w:val="12"/>
          <w:szCs w:val="12"/>
        </w:rPr>
        <w:t>СВЕДЕНИЯ О СЕРТИФИКАТЕ ЭП</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Кому выдан: </w:t>
      </w:r>
      <w:r>
        <w:rPr>
          <w:rStyle w:val="CharStyle23"/>
          <w:color w:val="000000"/>
        </w:rPr>
        <w:t>Кутейников Антон Андреевич</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Сертификат </w:t>
      </w:r>
      <w:r>
        <w:rPr>
          <w:rStyle w:val="CharStyle23"/>
          <w:color w:val="292929"/>
        </w:rPr>
        <w:t xml:space="preserve">№ </w:t>
      </w:r>
      <w:r>
        <w:rPr>
          <w:rStyle w:val="CharStyle23"/>
          <w:lang w:val="en-US" w:eastAsia="en-US"/>
        </w:rPr>
        <w:t>67950889C45403E5BD9EBC88A8D80C0D</w:t>
      </w:r>
    </w:p>
    <w:p>
      <w:pPr>
        <w:pStyle w:val="Style22"/>
        <w:keepNext w:val="0"/>
        <w:keepLines w:val="0"/>
        <w:widowControl w:val="0"/>
        <w:shd w:val="clear" w:color="auto" w:fill="auto"/>
        <w:bidi w:val="0"/>
        <w:spacing w:before="0" w:after="560" w:line="240" w:lineRule="auto"/>
        <w:ind w:right="0" w:firstLine="0"/>
        <w:jc w:val="left"/>
      </w:pPr>
      <w:r>
        <w:rPr>
          <w:rStyle w:val="CharStyle23"/>
        </w:rPr>
        <w:t xml:space="preserve">Действителен с 19.05.2025 </w:t>
      </w:r>
      <w:r>
        <w:rPr>
          <w:rStyle w:val="CharStyle23"/>
          <w:color w:val="5E5E5E"/>
        </w:rPr>
        <w:t xml:space="preserve">по </w:t>
      </w:r>
      <w:r>
        <w:rPr>
          <w:rStyle w:val="CharStyle23"/>
        </w:rPr>
        <w:t>12.08.2026</w:t>
      </w:r>
    </w:p>
    <w:p>
      <w:pPr>
        <w:pStyle w:val="Style11"/>
        <w:keepNext w:val="0"/>
        <w:keepLines w:val="0"/>
        <w:widowControl w:val="0"/>
        <w:shd w:val="clear" w:color="auto" w:fill="auto"/>
        <w:bidi w:val="0"/>
        <w:spacing w:before="0" w:after="100" w:line="240" w:lineRule="auto"/>
        <w:ind w:left="0" w:right="0" w:firstLine="0"/>
        <w:jc w:val="left"/>
      </w:pPr>
      <w:r>
        <w:rPr>
          <w:rStyle w:val="CharStyle12"/>
        </w:rPr>
        <w:t>Члены Комиссии</w:t>
      </w:r>
    </w:p>
    <w:p>
      <w:pPr>
        <w:pStyle w:val="Style11"/>
        <w:keepNext w:val="0"/>
        <w:keepLines w:val="0"/>
        <w:widowControl w:val="0"/>
        <w:shd w:val="clear" w:color="auto" w:fill="auto"/>
        <w:bidi w:val="0"/>
        <w:spacing w:before="0" w:after="370" w:line="240" w:lineRule="auto"/>
        <w:ind w:left="0" w:right="0" w:firstLine="820"/>
        <w:jc w:val="left"/>
      </w:pPr>
      <w:r>
        <w:drawing>
          <wp:anchor distT="0" distB="0" distL="114300" distR="1900555" simplePos="0" relativeHeight="125829384" behindDoc="0" locked="0" layoutInCell="1" allowOverlap="1">
            <wp:simplePos x="0" y="0"/>
            <wp:positionH relativeFrom="page">
              <wp:posOffset>3103880</wp:posOffset>
            </wp:positionH>
            <wp:positionV relativeFrom="paragraph">
              <wp:posOffset>63500</wp:posOffset>
            </wp:positionV>
            <wp:extent cx="359410" cy="396240"/>
            <wp:wrapSquare wrapText="right"/>
            <wp:docPr id="16" name="Shape 16"/>
            <a:graphic xmlns:a="http://schemas.openxmlformats.org/drawingml/2006/main">
              <a:graphicData uri="http://schemas.openxmlformats.org/drawingml/2006/picture">
                <pic:pic xmlns:pic="http://schemas.openxmlformats.org/drawingml/2006/picture">
                  <pic:nvPicPr>
                    <pic:cNvPr id="17" name="Picture box 17"/>
                    <pic:cNvPicPr/>
                  </pic:nvPicPr>
                  <pic:blipFill>
                    <a:blip r:embed="rId13"/>
                    <a:stretch/>
                  </pic:blipFill>
                  <pic:spPr>
                    <a:xfrm>
                      <a:ext cx="359410" cy="3962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3524250</wp:posOffset>
                </wp:positionH>
                <wp:positionV relativeFrom="paragraph">
                  <wp:posOffset>148590</wp:posOffset>
                </wp:positionV>
                <wp:extent cx="1722120" cy="259080"/>
                <wp:wrapNone/>
                <wp:docPr id="18" name="Shape 18"/>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4" type="#_x0000_t202" style="position:absolute;margin-left:277.5pt;margin-top:11.700000000000001pt;width:135.59999999999999pt;height:20.400000000000002pt;z-index:25165772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А.А. Матюшенко</w:t>
      </w:r>
    </w:p>
    <w:p>
      <w:pPr>
        <w:pStyle w:val="Style1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520" w:right="0" w:firstLine="0"/>
        <w:jc w:val="left"/>
        <w:rPr>
          <w:sz w:val="12"/>
          <w:szCs w:val="12"/>
        </w:rPr>
      </w:pPr>
      <w:r>
        <w:rPr>
          <w:rStyle w:val="CharStyle18"/>
          <w:color w:val="FFFFFF"/>
          <w:sz w:val="12"/>
          <w:szCs w:val="12"/>
        </w:rPr>
        <w:t>СВЕДЕНИЯ О СЕРТИФИКАТЕ ЭП</w:t>
      </w:r>
    </w:p>
    <w:p>
      <w:pPr>
        <w:pStyle w:val="Style22"/>
        <w:keepNext w:val="0"/>
        <w:keepLines w:val="0"/>
        <w:widowControl w:val="0"/>
        <w:shd w:val="clear" w:color="auto" w:fill="auto"/>
        <w:bidi w:val="0"/>
        <w:spacing w:before="0" w:after="0"/>
        <w:ind w:right="0" w:firstLine="0"/>
        <w:jc w:val="left"/>
      </w:pPr>
      <w:r>
        <w:rPr>
          <w:rStyle w:val="CharStyle23"/>
        </w:rPr>
        <w:t xml:space="preserve">Кому выдан: </w:t>
      </w:r>
      <w:r>
        <w:rPr>
          <w:rStyle w:val="CharStyle23"/>
          <w:color w:val="000000"/>
        </w:rPr>
        <w:t>Матюшенко Александр Александрович</w:t>
      </w:r>
      <w:r>
        <w:rPr>
          <w:rStyle w:val="CharStyle23"/>
          <w:color w:val="000000"/>
        </w:rPr>
        <w:t xml:space="preserve"> </w:t>
      </w:r>
      <w:r>
        <w:rPr>
          <w:rStyle w:val="CharStyle23"/>
        </w:rPr>
        <w:t xml:space="preserve">Сертификат </w:t>
      </w:r>
      <w:r>
        <w:rPr>
          <w:rStyle w:val="CharStyle23"/>
          <w:color w:val="292929"/>
        </w:rPr>
        <w:t xml:space="preserve">№ </w:t>
      </w:r>
      <w:r>
        <w:rPr>
          <w:rStyle w:val="CharStyle23"/>
          <w:lang w:val="en-US" w:eastAsia="en-US"/>
        </w:rPr>
        <w:t>4F595A5C3E5ABB2DD77161F08559FC07</w:t>
      </w:r>
    </w:p>
    <w:p>
      <w:pPr>
        <w:pStyle w:val="Style22"/>
        <w:keepNext w:val="0"/>
        <w:keepLines w:val="0"/>
        <w:widowControl w:val="0"/>
        <w:shd w:val="clear" w:color="auto" w:fill="auto"/>
        <w:bidi w:val="0"/>
        <w:spacing w:before="0" w:after="560"/>
        <w:ind w:right="0" w:firstLine="0"/>
        <w:jc w:val="left"/>
      </w:pPr>
      <w:r>
        <w:rPr>
          <w:rStyle w:val="CharStyle23"/>
        </w:rPr>
        <w:t xml:space="preserve">Действителен с 22.07.2025 </w:t>
      </w:r>
      <w:r>
        <w:rPr>
          <w:rStyle w:val="CharStyle23"/>
          <w:color w:val="5E5E5E"/>
        </w:rPr>
        <w:t xml:space="preserve">по </w:t>
      </w:r>
      <w:r>
        <w:rPr>
          <w:rStyle w:val="CharStyle23"/>
        </w:rPr>
        <w:t>15.10.2026</w:t>
      </w:r>
    </w:p>
    <w:p>
      <w:pPr>
        <w:pStyle w:val="Style11"/>
        <w:keepNext w:val="0"/>
        <w:keepLines w:val="0"/>
        <w:widowControl w:val="0"/>
        <w:shd w:val="clear" w:color="auto" w:fill="auto"/>
        <w:bidi w:val="0"/>
        <w:spacing w:before="0" w:after="370" w:line="240" w:lineRule="auto"/>
        <w:ind w:left="0" w:right="0" w:firstLine="620"/>
        <w:jc w:val="left"/>
      </w:pPr>
      <w:r>
        <w:drawing>
          <wp:anchor distT="0" distB="0" distL="114300" distR="1931035" simplePos="0" relativeHeight="125829385" behindDoc="0" locked="0" layoutInCell="1" allowOverlap="1">
            <wp:simplePos x="0" y="0"/>
            <wp:positionH relativeFrom="page">
              <wp:posOffset>3134360</wp:posOffset>
            </wp:positionH>
            <wp:positionV relativeFrom="paragraph">
              <wp:posOffset>88900</wp:posOffset>
            </wp:positionV>
            <wp:extent cx="298450" cy="347345"/>
            <wp:wrapSquare wrapText="right"/>
            <wp:docPr id="20" name="Shape 20"/>
            <a:graphic xmlns:a="http://schemas.openxmlformats.org/drawingml/2006/main">
              <a:graphicData uri="http://schemas.openxmlformats.org/drawingml/2006/picture">
                <pic:pic xmlns:pic="http://schemas.openxmlformats.org/drawingml/2006/picture">
                  <pic:nvPicPr>
                    <pic:cNvPr id="21" name="Picture box 21"/>
                    <pic:cNvPicPr/>
                  </pic:nvPicPr>
                  <pic:blipFill>
                    <a:blip r:embed="rId15"/>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3524250</wp:posOffset>
                </wp:positionH>
                <wp:positionV relativeFrom="paragraph">
                  <wp:posOffset>149860</wp:posOffset>
                </wp:positionV>
                <wp:extent cx="1722120" cy="259080"/>
                <wp:wrapNone/>
                <wp:docPr id="22" name="Shape 22"/>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8" type="#_x0000_t202" style="position:absolute;margin-left:277.5pt;margin-top:11.800000000000001pt;width:135.59999999999999pt;height:20.400000000000002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pPr>
                      <w:r>
                        <w:rPr>
                          <w:rStyle w:val="CharStyle20"/>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2"/>
        </w:rPr>
        <w:t>А.С. Гелмутдинова</w:t>
      </w:r>
    </w:p>
    <w:p>
      <w:pPr>
        <w:pStyle w:val="Style1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4520" w:right="0" w:firstLine="0"/>
        <w:jc w:val="left"/>
        <w:rPr>
          <w:sz w:val="12"/>
          <w:szCs w:val="12"/>
        </w:rPr>
      </w:pPr>
      <w:r>
        <w:rPr>
          <w:rStyle w:val="CharStyle18"/>
          <w:color w:val="FFFFFF"/>
          <w:sz w:val="12"/>
          <w:szCs w:val="12"/>
        </w:rPr>
        <w:t>СВЕДЕНИЯ О СЕРТИФИКАТЕ ЭП</w:t>
      </w:r>
    </w:p>
    <w:p>
      <w:pPr>
        <w:pStyle w:val="Style22"/>
        <w:keepNext w:val="0"/>
        <w:keepLines w:val="0"/>
        <w:widowControl w:val="0"/>
        <w:shd w:val="clear" w:color="auto" w:fill="auto"/>
        <w:bidi w:val="0"/>
        <w:spacing w:before="0" w:after="0"/>
        <w:ind w:right="0" w:firstLine="0"/>
        <w:jc w:val="left"/>
      </w:pPr>
      <w:r>
        <w:rPr>
          <w:rStyle w:val="CharStyle23"/>
        </w:rPr>
        <w:t xml:space="preserve">Кому выдан: </w:t>
      </w:r>
      <w:r>
        <w:rPr>
          <w:rStyle w:val="CharStyle23"/>
          <w:color w:val="000000"/>
        </w:rPr>
        <w:t>ГЕЛМУТДИНОВА АНАСТАСИЯ СЕРГЕЕВНА</w:t>
      </w:r>
      <w:r>
        <w:rPr>
          <w:rStyle w:val="CharStyle23"/>
          <w:color w:val="000000"/>
        </w:rPr>
        <w:t xml:space="preserve"> </w:t>
      </w:r>
      <w:r>
        <w:rPr>
          <w:rStyle w:val="CharStyle23"/>
        </w:rPr>
        <w:t xml:space="preserve">Сертификат </w:t>
      </w:r>
      <w:r>
        <w:rPr>
          <w:rStyle w:val="CharStyle23"/>
          <w:color w:val="292929"/>
        </w:rPr>
        <w:t xml:space="preserve">№ </w:t>
      </w:r>
      <w:r>
        <w:rPr>
          <w:rStyle w:val="CharStyle23"/>
        </w:rPr>
        <w:t>723501СС21703599976371</w:t>
      </w:r>
      <w:r>
        <w:rPr>
          <w:rStyle w:val="CharStyle23"/>
          <w:lang w:val="en-US" w:eastAsia="en-US"/>
        </w:rPr>
        <w:t>4F5C652689</w:t>
      </w:r>
    </w:p>
    <w:p>
      <w:pPr>
        <w:pStyle w:val="Style22"/>
        <w:keepNext w:val="0"/>
        <w:keepLines w:val="0"/>
        <w:widowControl w:val="0"/>
        <w:shd w:val="clear" w:color="auto" w:fill="auto"/>
        <w:bidi w:val="0"/>
        <w:spacing w:before="0" w:after="500"/>
        <w:ind w:right="0" w:firstLine="0"/>
        <w:jc w:val="left"/>
      </w:pPr>
      <w:r>
        <w:rPr>
          <w:rStyle w:val="CharStyle23"/>
        </w:rPr>
        <w:t xml:space="preserve">Действителен с 09.02.2026 </w:t>
      </w:r>
      <w:r>
        <w:rPr>
          <w:rStyle w:val="CharStyle23"/>
          <w:color w:val="5E5E5E"/>
        </w:rPr>
        <w:t xml:space="preserve">по </w:t>
      </w:r>
      <w:r>
        <w:rPr>
          <w:rStyle w:val="CharStyle23"/>
        </w:rPr>
        <w:t>05.05.2027</w:t>
      </w:r>
    </w:p>
    <w:p>
      <w:pPr>
        <w:pStyle w:val="Style27"/>
        <w:keepNext w:val="0"/>
        <w:keepLines w:val="0"/>
        <w:widowControl w:val="0"/>
        <w:shd w:val="clear" w:color="auto" w:fill="auto"/>
        <w:bidi w:val="0"/>
        <w:spacing w:before="0" w:line="240" w:lineRule="auto"/>
        <w:ind w:left="0" w:right="0" w:firstLine="0"/>
        <w:jc w:val="left"/>
      </w:pPr>
      <w:r>
        <w:rPr>
          <w:rStyle w:val="CharStyle28"/>
        </w:rPr>
        <w:t>Исп. Матюшенко А.А., 8(495) 784-75-05</w:t>
      </w:r>
    </w:p>
    <w:sectPr>
      <w:footnotePr>
        <w:pos w:val="pageBottom"/>
        <w:numFmt w:val="decimal"/>
        <w:numRestart w:val="continuous"/>
      </w:footnotePr>
      <w:type w:val="continuous"/>
      <w:pgSz w:w="11900" w:h="16840"/>
      <w:pgMar w:top="1162" w:right="532"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10214610</wp:posOffset>
              </wp:positionV>
              <wp:extent cx="719455" cy="106680"/>
              <wp:wrapNone/>
              <wp:docPr id="4" name="Shape 4"/>
              <a:graphic xmlns:a="http://schemas.openxmlformats.org/drawingml/2006/main">
                <a:graphicData uri="http://schemas.microsoft.com/office/word/2010/wordprocessingShape">
                  <wps:wsp>
                    <wps:cNvSpPr txBox="1"/>
                    <wps:spPr>
                      <a:xfrm>
                        <a:ext cx="719455"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2026-23388</w:t>
                          </w:r>
                        </w:p>
                      </w:txbxContent>
                    </wps:txbx>
                    <wps:bodyPr wrap="none" lIns="0" tIns="0" rIns="0" bIns="0">
                      <a:spAutoFit/>
                    </wps:bodyPr>
                  </wps:wsp>
                </a:graphicData>
              </a:graphic>
            </wp:anchor>
          </w:drawing>
        </mc:Choice>
        <mc:Fallback>
          <w:pict>
            <v:shape id="_x0000_s1030" type="#_x0000_t202" style="position:absolute;margin-left:57.pt;margin-top:804.30000000000007pt;width:56.649999999999999pt;height:8.40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2026-23388</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723265</wp:posOffset>
              </wp:positionH>
              <wp:positionV relativeFrom="page">
                <wp:posOffset>10092690</wp:posOffset>
              </wp:positionV>
              <wp:extent cx="722630" cy="103505"/>
              <wp:wrapNone/>
              <wp:docPr id="8" name="Shape 8"/>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2026-23388</w:t>
                          </w:r>
                        </w:p>
                      </w:txbxContent>
                    </wps:txbx>
                    <wps:bodyPr wrap="none" lIns="0" tIns="0" rIns="0" bIns="0">
                      <a:spAutoFit/>
                    </wps:bodyPr>
                  </wps:wsp>
                </a:graphicData>
              </a:graphic>
            </wp:anchor>
          </w:drawing>
        </mc:Choice>
        <mc:Fallback>
          <w:pict>
            <v:shape id="_x0000_s1034" type="#_x0000_t202" style="position:absolute;margin-left:56.950000000000003pt;margin-top:794.70000000000005pt;width:56.899999999999999pt;height:8.15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2026-23388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3923030</wp:posOffset>
              </wp:positionH>
              <wp:positionV relativeFrom="page">
                <wp:posOffset>267335</wp:posOffset>
              </wp:positionV>
              <wp:extent cx="64135" cy="69850"/>
              <wp:wrapNone/>
              <wp:docPr id="2" name="Shape 2"/>
              <a:graphic xmlns:a="http://schemas.openxmlformats.org/drawingml/2006/main">
                <a:graphicData uri="http://schemas.microsoft.com/office/word/2010/wordprocessingShape">
                  <wps:wsp>
                    <wps:cNvSpPr txBox="1"/>
                    <wps:spPr>
                      <a:xfrm>
                        <a:ext cx="64135" cy="6985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308.90000000000003pt;margin-top:21.050000000000001pt;width:5.0499999999999998pt;height:5.5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3923665</wp:posOffset>
              </wp:positionH>
              <wp:positionV relativeFrom="page">
                <wp:posOffset>473075</wp:posOffset>
              </wp:positionV>
              <wp:extent cx="67310" cy="106680"/>
              <wp:wrapNone/>
              <wp:docPr id="6" name="Shape 6"/>
              <a:graphic xmlns:a="http://schemas.openxmlformats.org/drawingml/2006/main">
                <a:graphicData uri="http://schemas.microsoft.com/office/word/2010/wordprocessingShape">
                  <wps:wsp>
                    <wps:cNvSpPr txBox="1"/>
                    <wps:spPr>
                      <a:xfrm>
                        <a:ext cx="67310" cy="10668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wps:txbx>
                    <wps:bodyPr wrap="none" lIns="0" tIns="0" rIns="0" bIns="0">
                      <a:spAutoFit/>
                    </wps:bodyPr>
                  </wps:wsp>
                </a:graphicData>
              </a:graphic>
            </wp:anchor>
          </w:drawing>
        </mc:Choice>
        <mc:Fallback>
          <w:pict>
            <v:shape id="_x0000_s1032" type="#_x0000_t202" style="position:absolute;margin-left:308.94999999999999pt;margin-top:37.25pt;width:5.2999999999999998pt;height:8.4000000000000004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3"/>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10">
    <w:name w:val="Heading #2_"/>
    <w:basedOn w:val="DefaultParagraphFont"/>
    <w:link w:val="Style9"/>
    <w:rPr>
      <w:rFonts w:ascii="Times New Roman" w:eastAsia="Times New Roman" w:hAnsi="Times New Roman" w:cs="Times New Roman"/>
      <w:b w:val="0"/>
      <w:bCs w:val="0"/>
      <w:i w:val="0"/>
      <w:iCs w:val="0"/>
      <w:smallCaps w:val="0"/>
      <w:strike w:val="0"/>
      <w:sz w:val="30"/>
      <w:szCs w:val="30"/>
      <w:u w:val="none"/>
    </w:rPr>
  </w:style>
  <w:style w:type="character" w:customStyle="1" w:styleId="CharStyle12">
    <w:name w:val="Body text_"/>
    <w:basedOn w:val="DefaultParagraphFont"/>
    <w:link w:val="Style11"/>
    <w:rPr>
      <w:rFonts w:ascii="Times New Roman" w:eastAsia="Times New Roman" w:hAnsi="Times New Roman" w:cs="Times New Roman"/>
      <w:b w:val="0"/>
      <w:bCs w:val="0"/>
      <w:i w:val="0"/>
      <w:iCs w:val="0"/>
      <w:smallCaps w:val="0"/>
      <w:strike w:val="0"/>
      <w:sz w:val="28"/>
      <w:szCs w:val="28"/>
      <w:u w:val="none"/>
    </w:rPr>
  </w:style>
  <w:style w:type="character" w:customStyle="1" w:styleId="CharStyle15">
    <w:name w:val="Heading #1_"/>
    <w:basedOn w:val="DefaultParagraphFont"/>
    <w:link w:val="Style14"/>
    <w:rPr>
      <w:rFonts w:ascii="Arial" w:eastAsia="Arial" w:hAnsi="Arial" w:cs="Arial"/>
      <w:b w:val="0"/>
      <w:bCs w:val="0"/>
      <w:i w:val="0"/>
      <w:iCs w:val="0"/>
      <w:smallCaps w:val="0"/>
      <w:strike w:val="0"/>
      <w:sz w:val="32"/>
      <w:szCs w:val="32"/>
      <w:u w:val="none"/>
      <w:lang w:val="en-US" w:eastAsia="en-US"/>
    </w:rPr>
  </w:style>
  <w:style w:type="character" w:customStyle="1" w:styleId="CharStyle18">
    <w:name w:val="Body text (4)_"/>
    <w:basedOn w:val="DefaultParagraphFont"/>
    <w:link w:val="Style17"/>
    <w:rPr>
      <w:rFonts w:ascii="Georgia" w:eastAsia="Georgia" w:hAnsi="Georgia" w:cs="Georgia"/>
      <w:b w:val="0"/>
      <w:bCs w:val="0"/>
      <w:i w:val="0"/>
      <w:iCs w:val="0"/>
      <w:smallCaps w:val="0"/>
      <w:strike w:val="0"/>
      <w:color w:val="292929"/>
      <w:sz w:val="11"/>
      <w:szCs w:val="11"/>
      <w:u w:val="none"/>
    </w:rPr>
  </w:style>
  <w:style w:type="character" w:customStyle="1" w:styleId="CharStyle20">
    <w:name w:val="Picture caption_"/>
    <w:basedOn w:val="DefaultParagraphFont"/>
    <w:link w:val="Style19"/>
    <w:rPr>
      <w:rFonts w:ascii="Georgia" w:eastAsia="Georgia" w:hAnsi="Georgia" w:cs="Georgia"/>
      <w:b w:val="0"/>
      <w:bCs w:val="0"/>
      <w:i w:val="0"/>
      <w:iCs w:val="0"/>
      <w:smallCaps w:val="0"/>
      <w:strike w:val="0"/>
      <w:color w:val="292929"/>
      <w:sz w:val="11"/>
      <w:szCs w:val="11"/>
      <w:u w:val="none"/>
    </w:rPr>
  </w:style>
  <w:style w:type="character" w:customStyle="1" w:styleId="CharStyle23">
    <w:name w:val="Body text (2)_"/>
    <w:basedOn w:val="DefaultParagraphFont"/>
    <w:link w:val="Style22"/>
    <w:rPr>
      <w:rFonts w:ascii="Arial" w:eastAsia="Arial" w:hAnsi="Arial" w:cs="Arial"/>
      <w:b w:val="0"/>
      <w:bCs w:val="0"/>
      <w:i w:val="0"/>
      <w:iCs w:val="0"/>
      <w:smallCaps w:val="0"/>
      <w:strike w:val="0"/>
      <w:color w:val="434343"/>
      <w:sz w:val="12"/>
      <w:szCs w:val="12"/>
      <w:u w:val="none"/>
    </w:rPr>
  </w:style>
  <w:style w:type="character" w:customStyle="1" w:styleId="CharStyle28">
    <w:name w:val="Body text (5)_"/>
    <w:basedOn w:val="DefaultParagraphFont"/>
    <w:link w:val="Style27"/>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after="15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customStyle="1" w:styleId="Style9">
    <w:name w:val="Heading #2"/>
    <w:basedOn w:val="Normal"/>
    <w:link w:val="CharStyle10"/>
    <w:pPr>
      <w:widowControl w:val="0"/>
      <w:shd w:val="clear" w:color="auto" w:fill="auto"/>
      <w:jc w:val="center"/>
      <w:outlineLvl w:val="1"/>
    </w:pPr>
    <w:rPr>
      <w:rFonts w:ascii="Times New Roman" w:eastAsia="Times New Roman" w:hAnsi="Times New Roman" w:cs="Times New Roman"/>
      <w:b w:val="0"/>
      <w:bCs w:val="0"/>
      <w:i w:val="0"/>
      <w:iCs w:val="0"/>
      <w:smallCaps w:val="0"/>
      <w:strike w:val="0"/>
      <w:sz w:val="30"/>
      <w:szCs w:val="30"/>
      <w:u w:val="none"/>
    </w:rPr>
  </w:style>
  <w:style w:type="paragraph" w:styleId="Style11">
    <w:name w:val="Body text"/>
    <w:basedOn w:val="Normal"/>
    <w:link w:val="CharStyle12"/>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4">
    <w:name w:val="Heading #1"/>
    <w:basedOn w:val="Normal"/>
    <w:link w:val="CharStyle15"/>
    <w:pPr>
      <w:widowControl w:val="0"/>
      <w:shd w:val="clear" w:color="auto" w:fill="auto"/>
      <w:ind w:firstLine="360"/>
      <w:outlineLvl w:val="0"/>
    </w:pPr>
    <w:rPr>
      <w:rFonts w:ascii="Arial" w:eastAsia="Arial" w:hAnsi="Arial" w:cs="Arial"/>
      <w:b w:val="0"/>
      <w:bCs w:val="0"/>
      <w:i w:val="0"/>
      <w:iCs w:val="0"/>
      <w:smallCaps w:val="0"/>
      <w:strike w:val="0"/>
      <w:sz w:val="32"/>
      <w:szCs w:val="32"/>
      <w:u w:val="none"/>
      <w:lang w:val="en-US" w:eastAsia="en-US"/>
    </w:rPr>
  </w:style>
  <w:style w:type="paragraph" w:customStyle="1" w:styleId="Style17">
    <w:name w:val="Body text (4)"/>
    <w:basedOn w:val="Normal"/>
    <w:link w:val="CharStyle18"/>
    <w:pPr>
      <w:widowControl w:val="0"/>
      <w:shd w:val="clear" w:color="auto" w:fill="auto"/>
      <w:spacing w:after="50"/>
      <w:ind w:left="2260"/>
    </w:pPr>
    <w:rPr>
      <w:rFonts w:ascii="Georgia" w:eastAsia="Georgia" w:hAnsi="Georgia" w:cs="Georgia"/>
      <w:b w:val="0"/>
      <w:bCs w:val="0"/>
      <w:i w:val="0"/>
      <w:iCs w:val="0"/>
      <w:smallCaps w:val="0"/>
      <w:strike w:val="0"/>
      <w:color w:val="292929"/>
      <w:sz w:val="11"/>
      <w:szCs w:val="11"/>
      <w:u w:val="none"/>
    </w:rPr>
  </w:style>
  <w:style w:type="paragraph" w:customStyle="1" w:styleId="Style19">
    <w:name w:val="Picture caption"/>
    <w:basedOn w:val="Normal"/>
    <w:link w:val="CharStyle20"/>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2">
    <w:name w:val="Body text (2)"/>
    <w:basedOn w:val="Normal"/>
    <w:link w:val="CharStyle23"/>
    <w:pPr>
      <w:widowControl w:val="0"/>
      <w:shd w:val="clear" w:color="auto" w:fill="auto"/>
      <w:spacing w:line="266" w:lineRule="auto"/>
      <w:ind w:left="3820"/>
    </w:pPr>
    <w:rPr>
      <w:rFonts w:ascii="Arial" w:eastAsia="Arial" w:hAnsi="Arial" w:cs="Arial"/>
      <w:b w:val="0"/>
      <w:bCs w:val="0"/>
      <w:i w:val="0"/>
      <w:iCs w:val="0"/>
      <w:smallCaps w:val="0"/>
      <w:strike w:val="0"/>
      <w:color w:val="434343"/>
      <w:sz w:val="12"/>
      <w:szCs w:val="12"/>
      <w:u w:val="none"/>
    </w:rPr>
  </w:style>
  <w:style w:type="paragraph" w:customStyle="1" w:styleId="Style27">
    <w:name w:val="Body text (5)"/>
    <w:basedOn w:val="Normal"/>
    <w:link w:val="CharStyle28"/>
    <w:pPr>
      <w:widowControl w:val="0"/>
      <w:shd w:val="clear" w:color="auto" w:fill="auto"/>
      <w:spacing w:after="10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image" Target="media/image2.jpeg"/><Relationship Id="rId14" Type="http://schemas.openxmlformats.org/officeDocument/2006/relationships/image" Target="media/image2.jpeg" TargetMode="External"/><Relationship Id="rId15" Type="http://schemas.openxmlformats.org/officeDocument/2006/relationships/image" Target="media/image3.jpeg"/><Relationship Id="rId16" Type="http://schemas.openxmlformats.org/officeDocument/2006/relationships/image" Target="media/image3.jpeg" TargetMode="External"/></Relationships>
</file>