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3.05.2026</w:t>
      </w:r>
      <w:r>
        <w:fldChar w:fldCharType="end"/>
      </w:r>
      <w:r>
        <w:rPr>
          <w:rStyle w:val="CharStyle10"/>
        </w:rPr>
        <w:tab/>
        <w:t>№ 20166/26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«ГП </w:t>
      </w:r>
      <w:r>
        <w:rPr>
          <w:rStyle w:val="CharStyle12"/>
          <w:lang w:val="en-US" w:eastAsia="en-US"/>
        </w:rPr>
        <w:t xml:space="preserve">№12 </w:t>
      </w:r>
      <w:r>
        <w:rPr>
          <w:rStyle w:val="CharStyle12"/>
        </w:rPr>
        <w:t xml:space="preserve">ДЗМ» </w:t>
      </w:r>
      <w:r>
        <w:fldChar w:fldCharType="begin"/>
      </w:r>
      <w:r>
        <w:rPr/>
        <w:instrText> HYPERLINK "mailto:gp12zdrav@yandex.ru" </w:instrText>
      </w:r>
      <w:r>
        <w:fldChar w:fldCharType="separate"/>
      </w:r>
      <w:r>
        <w:rPr>
          <w:rStyle w:val="CharStyle12"/>
          <w:lang w:val="en-US" w:eastAsia="en-US"/>
        </w:rPr>
        <w:t>gp12zdrav@yandex.ru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014" w:bottom="708" w:left="1293" w:header="0" w:footer="3" w:gutter="0"/>
          <w:pgNumType w:start="1"/>
          <w:cols w:num="2" w:space="1254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ООО «РЕМТРАНСГАРАНТ» </w:t>
      </w:r>
      <w:r>
        <w:fldChar w:fldCharType="begin"/>
      </w:r>
      <w:r>
        <w:rPr/>
        <w:instrText> HYPERLINK "mailto:borgiainge17@gmail.com" </w:instrText>
      </w:r>
      <w:r>
        <w:fldChar w:fldCharType="separate"/>
      </w:r>
      <w:r>
        <w:rPr>
          <w:rStyle w:val="CharStyle12"/>
          <w:lang w:val="en-US" w:eastAsia="en-US"/>
        </w:rPr>
        <w:t>borgiainge17@gmail.com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2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№077/06/105-5761/2026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07.05.2026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Хлебниковой,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участии представителя ГБУЗ «ГП </w:t>
      </w:r>
      <w:r>
        <w:rPr>
          <w:rStyle w:val="CharStyle12"/>
          <w:lang w:val="en-US" w:eastAsia="en-US"/>
        </w:rPr>
        <w:t xml:space="preserve">№12 </w:t>
      </w:r>
      <w:r>
        <w:rPr>
          <w:rStyle w:val="CharStyle12"/>
        </w:rPr>
        <w:t xml:space="preserve">ДЗМ»: О.В. Хаердиновой (по доверенности </w:t>
      </w:r>
      <w:r>
        <w:rPr>
          <w:rStyle w:val="CharStyle12"/>
          <w:lang w:val="en-US" w:eastAsia="en-US"/>
        </w:rPr>
        <w:t xml:space="preserve">№ 17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16.04.2026);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«РЕМТРАНСГАРАНТ»,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«РЕМТРАНСГАРАНТ»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«ГП </w:t>
      </w:r>
      <w:r>
        <w:rPr>
          <w:rStyle w:val="CharStyle12"/>
          <w:lang w:val="en-US" w:eastAsia="en-US"/>
        </w:rPr>
        <w:t xml:space="preserve">№12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оказание услуг по паспортизации систем вентиляции в зданиях ГБУЗ «ГП </w:t>
      </w:r>
      <w:r>
        <w:rPr>
          <w:rStyle w:val="CharStyle12"/>
          <w:lang w:val="en-US" w:eastAsia="en-US"/>
        </w:rPr>
        <w:t xml:space="preserve">№ 12 </w:t>
      </w:r>
      <w:r>
        <w:rPr>
          <w:rStyle w:val="CharStyle12"/>
        </w:rPr>
        <w:t xml:space="preserve">ДЗМ» (Закупка </w:t>
      </w:r>
      <w:r>
        <w:rPr>
          <w:rStyle w:val="CharStyle12"/>
          <w:lang w:val="en-US" w:eastAsia="en-US"/>
        </w:rPr>
        <w:t xml:space="preserve">№ 0373200046826000018)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аукцион, электронный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>№44-ФЗ «О контрактной системе в сфере</w:t>
      </w:r>
    </w:p>
    <w:p>
      <w:pPr>
        <w:widowControl w:val="0"/>
        <w:spacing w:after="73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177800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 xml:space="preserve">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По результатам рассмотрения жалобы, рассмотрев представленные документы и сведения, запрашиваемые Московским УФАС России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составе своей жалобы Заявитель указывает на неправомерные действия комиссии Заказчика, выразившиеся в признании заявки победителя закупки соответствующей требованиям извещения об осуществлении закупки поскольку победителем в составе заявки не представлено решение о согласии на совершение или о последующем одобрении крупной сделки.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27.04.2026 </w:t>
      </w:r>
      <w:r>
        <w:rPr>
          <w:rStyle w:val="CharStyle12"/>
        </w:rPr>
        <w:t xml:space="preserve">№ИЭА1 заявка участника с идентификационным номером </w:t>
      </w:r>
      <w:r>
        <w:rPr>
          <w:rStyle w:val="CharStyle12"/>
          <w:lang w:val="en-US" w:eastAsia="en-US"/>
        </w:rPr>
        <w:t xml:space="preserve">3137080 </w:t>
      </w:r>
      <w:r>
        <w:rPr>
          <w:rStyle w:val="CharStyle12"/>
        </w:rPr>
        <w:t>признана соответствующей требованиям извещения, а также данный участник признан победителем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пп.«м» п.1 ч.1 ст.43 Закона о контрактной системе для участия в конкурентном способе заявка на участие в закупке должна содержать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 xml:space="preserve">Кроме того в пп.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>информационной карты, размещенной в составе извещения, Заказчиком установлено требование к содержанию, составу заявки на участие в электронном аукционе: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ценовое предложение победителя закупки составило </w:t>
      </w:r>
      <w:r>
        <w:rPr>
          <w:rStyle w:val="CharStyle12"/>
          <w:lang w:val="en-US" w:eastAsia="en-US"/>
        </w:rPr>
        <w:t xml:space="preserve">21 717,55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Крупная сделка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это сделка (или несколько взаимосвязанных сделок), которая одновременно соответствует двум критериям: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Качественный критерий: сделка выходит за пределы обычной хозяйственной деятельности компании. Это означает, что она не характерна для бизнеса компании или похожих по виду деятельности фирм, не приводит к прекращению деятельности, изменению её вида или существенному изменению масштабов.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Количественный критерий: сумма сделки превышает </w:t>
      </w:r>
      <w:r>
        <w:rPr>
          <w:rStyle w:val="CharStyle12"/>
          <w:lang w:val="en-US" w:eastAsia="en-US"/>
        </w:rPr>
        <w:t xml:space="preserve">25% </w:t>
      </w:r>
      <w:r>
        <w:rPr>
          <w:rStyle w:val="CharStyle12"/>
        </w:rPr>
        <w:t>балансовой стоимости активов компании, определённой по данным бухгалтерской (финансовой) отчётности на последнюю отчётную дату.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Согласно данным сайта </w:t>
      </w:r>
      <w:r>
        <w:rPr>
          <w:rStyle w:val="CharStyle12"/>
          <w:lang w:val="en-US" w:eastAsia="en-US"/>
        </w:rPr>
        <w:t>Аudit-</w:t>
      </w:r>
      <w:r>
        <w:rPr>
          <w:rStyle w:val="CharStyle12"/>
          <w:lang w:val="en-US" w:eastAsia="en-US"/>
        </w:rPr>
        <w:t>it.ru</w:t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балансовая стоимость победителя закупки на </w:t>
      </w:r>
      <w:r>
        <w:rPr>
          <w:rStyle w:val="CharStyle12"/>
          <w:lang w:val="en-US" w:eastAsia="en-US"/>
        </w:rPr>
        <w:t xml:space="preserve">31.12.2025 </w:t>
      </w:r>
      <w:r>
        <w:rPr>
          <w:rStyle w:val="CharStyle12"/>
        </w:rPr>
        <w:t xml:space="preserve">составляет </w:t>
      </w:r>
      <w:r>
        <w:rPr>
          <w:rStyle w:val="CharStyle12"/>
          <w:lang w:val="en-US" w:eastAsia="en-US"/>
        </w:rPr>
        <w:t xml:space="preserve">7 564 </w:t>
      </w:r>
      <w:r>
        <w:rPr>
          <w:rStyle w:val="CharStyle12"/>
        </w:rPr>
        <w:t>млн.руб.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Расчет: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  <w:lang w:val="en-US" w:eastAsia="en-US"/>
        </w:rPr>
        <w:t>21 717,55 / 7 564 000,00*100%= 0, 287%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Так, сумма сделки </w:t>
      </w:r>
      <w:r>
        <w:rPr>
          <w:rStyle w:val="CharStyle12"/>
          <w:lang w:val="en-US" w:eastAsia="en-US"/>
        </w:rPr>
        <w:t xml:space="preserve">(21 717,55 </w:t>
      </w:r>
      <w:r>
        <w:rPr>
          <w:rStyle w:val="CharStyle12"/>
        </w:rPr>
        <w:t xml:space="preserve">рублей) составляет примерно </w:t>
      </w:r>
      <w:r>
        <w:rPr>
          <w:rStyle w:val="CharStyle12"/>
          <w:lang w:val="en-US" w:eastAsia="en-US"/>
        </w:rPr>
        <w:t xml:space="preserve">0,29% </w:t>
      </w:r>
      <w:r>
        <w:rPr>
          <w:rStyle w:val="CharStyle12"/>
        </w:rPr>
        <w:t>от балансовой стоимости активов компании. Такая сделка не является крупной по количественному критерию.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Вместе с тем при принятии решения Комиссия Управления считает необходимым отметить нижеследующее.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2" w:right="539" w:bottom="944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Согласно ч.1 ст.46 федерального закона от </w:t>
      </w:r>
      <w:r>
        <w:rPr>
          <w:rStyle w:val="CharStyle12"/>
          <w:lang w:val="en-US" w:eastAsia="en-US"/>
        </w:rPr>
        <w:t xml:space="preserve">08.02.1998 </w:t>
      </w:r>
      <w:r>
        <w:rPr>
          <w:rStyle w:val="CharStyle12"/>
        </w:rPr>
        <w:t>№14-ФЗ «Об обществах с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 xml:space="preserve">ограниченной ответственностью»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об ООО) крупной сделкой считается сделка (несколько взаимосвязанных сделок), выходящая за пределы обычной хозяйственной деятельности и при этом: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связанная с приобретением, отчуждением или возможностью отчуждения обществом прямо либо косвенно имущества (в том числе заем, кредит, залог, поручительство, приобретение такого количества акций (иных эмиссионных ценных бумаг, конвертируемых в акции) публичного общества, в результате которых у общества возникает обязанность направить обязательное предложение в соответствии с главой </w:t>
      </w:r>
      <w:r>
        <w:rPr>
          <w:rStyle w:val="CharStyle12"/>
          <w:lang w:val="en-US" w:eastAsia="en-US"/>
        </w:rPr>
        <w:t xml:space="preserve">XI.1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26.12.1995 </w:t>
      </w:r>
      <w:r>
        <w:rPr>
          <w:rStyle w:val="CharStyle12"/>
        </w:rPr>
        <w:t xml:space="preserve">№208-ФЗ «Об акционерных обществах»), цена или балансовая стоимость которого составляет </w:t>
      </w:r>
      <w:r>
        <w:rPr>
          <w:rStyle w:val="CharStyle12"/>
          <w:lang w:val="en-US" w:eastAsia="en-US"/>
        </w:rPr>
        <w:t xml:space="preserve">25 </w:t>
      </w:r>
      <w:r>
        <w:rPr>
          <w:rStyle w:val="CharStyle12"/>
        </w:rPr>
        <w:t>и более процентов балансовой стоимости активов общества, определенной по данным его бухгалтерской (финансовой) отчетности на последнюю отчетную дату;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предусматривающая обязанность общества передать имущество во временное владение и (или)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лицензии, если их балансовая стоимость составляет </w:t>
      </w:r>
      <w:r>
        <w:rPr>
          <w:rStyle w:val="CharStyle12"/>
          <w:lang w:val="en-US" w:eastAsia="en-US"/>
        </w:rPr>
        <w:t xml:space="preserve">25 </w:t>
      </w:r>
      <w:r>
        <w:rPr>
          <w:rStyle w:val="CharStyle12"/>
        </w:rPr>
        <w:t>и более процентов балансовой стоимости активов общества, определенной по данным его бухгалтерской (финансовой) отчетности на последнюю отчетную дату.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.3 ст. </w:t>
      </w:r>
      <w:r>
        <w:rPr>
          <w:rStyle w:val="CharStyle12"/>
          <w:lang w:val="en-US" w:eastAsia="en-US"/>
        </w:rPr>
        <w:t xml:space="preserve">46 </w:t>
      </w:r>
      <w:r>
        <w:rPr>
          <w:rStyle w:val="CharStyle12"/>
        </w:rPr>
        <w:t>Закона об ООО в том числе определено, что принятие решения о согласии на совершение крупной сделки является компетенцией общего собрания участников общества.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решении о согласии на совершение крупной сделки должны быть указаны лицо (лица), являющееся ее стороной, выгодоприобретателем, цена, предмет сделки и иные ее существенные условия или порядок их определения.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решении о согласии на совершение крупной сделки могут не указываться сторона сделки и выгодоприобретатель, если сделка заключается на торгах, а также в иных случаях, если сторона сделки и выгодоприобретатель не могут быть определены к моменту получения согласия на совершение такой сделки.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силу ч.8 ст.46 Закона об ООО для целей Закона об ООО под сделками, не выходящими за пределы обычной хозяйственной деятельности, понимаются любые сделки, которые приняты в деятельности соответствующего общества либо иных хозяйствующих субъектов, осуществляющих аналогичные виды деятельности, независимо от того, совершались ли такие сделки таким обществом ранее, если такие сделки не приводят к прекращению деятельности общества или изменению ее вида либо существенному изменению ее масштабов.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Комиссия Управления отмечает, что в силу ч.4 ст.106 Закона о контрактной системе Заявитель на участие в заседании Комиссии Управления не принял, при этом в составе жалобы Заявителем не представлено доказательств того обстоятельства, что сделка для победителя закупки является крупной.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120" w:line="233" w:lineRule="auto"/>
        <w:ind w:left="0" w:right="0" w:firstLine="700"/>
        <w:jc w:val="both"/>
      </w:pPr>
      <w:r>
        <w:rPr>
          <w:rStyle w:val="CharStyle12"/>
        </w:rPr>
        <w:t>непредставления (за исключением случаев, предусмотренных настоящим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rStyle w:val="CharStyle15"/>
          <w:sz w:val="24"/>
          <w:szCs w:val="24"/>
          <w:lang w:val="en-US" w:eastAsia="en-US"/>
        </w:rPr>
        <w:t>2026-23328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ситсеме;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предусмотренных пп. «а» п.1 (за исключением случая, предусмотренного п.5 ч.12 ст.48 Закона о контрактной системе), пп. «а» п.2 ч.4, пп.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(за исключением случая, предусмотренного п.5 ч.12 ст.48 Закона о контрактной системе), п.2 ч.5 ст.14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 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предусмотренных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указания информации о предложении участника закупки, предусмотренном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или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Признать жалобу ООО «РЕМТРАНСГАРАНТ» на действия комиссии ГБУЗ «ГП </w:t>
      </w:r>
      <w:r>
        <w:rPr>
          <w:rStyle w:val="CharStyle12"/>
          <w:lang w:val="en-US" w:eastAsia="en-US"/>
        </w:rPr>
        <w:t xml:space="preserve">№12 </w:t>
      </w:r>
      <w:r>
        <w:rPr>
          <w:rStyle w:val="CharStyle12"/>
        </w:rPr>
        <w:t>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2516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6764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pt;margin-top:26.pt;width:145.20000000000002pt;height:19.699999999999999pt;z-index:-125829375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8950" distB="0" distL="0" distR="0" simplePos="0" relativeHeight="125829380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488950</wp:posOffset>
                </wp:positionV>
                <wp:extent cx="1722120" cy="25908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4.5pt;margin-top:38.5pt;width:135.59999999999999pt;height:20.400000000000002pt;z-index:-125829373;mso-wrap-distance-left:0;mso-wrap-distance-top:38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67640" distL="0" distR="0" simplePos="0" relativeHeight="125829382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8.69999999999999pt;margin-top:26.pt;width:89.5pt;height:19.699999999999999pt;z-index:-125829371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4"/>
          <w:color w:val="2A2A2A"/>
        </w:rPr>
        <w:t xml:space="preserve">Сертификат № </w:t>
      </w:r>
      <w:r>
        <w:rPr>
          <w:rStyle w:val="CharStyle24"/>
          <w:color w:val="5D5D5D"/>
        </w:rPr>
        <w:t>00831</w:t>
      </w:r>
      <w:r>
        <w:rPr>
          <w:rStyle w:val="CharStyle24"/>
          <w:lang w:val="en-US" w:eastAsia="en-US"/>
        </w:rPr>
        <w:t>B7545C61281C4BAB156778A683BFB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Действителен с </w:t>
      </w:r>
      <w:r>
        <w:rPr>
          <w:rStyle w:val="CharStyle24"/>
          <w:color w:val="2A2A2A"/>
        </w:rPr>
        <w:t xml:space="preserve">17.07.2025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532" w:bottom="251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41630" distL="0" distR="0" simplePos="0" relativeHeight="125829384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76200</wp:posOffset>
                </wp:positionV>
                <wp:extent cx="134429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75pt;margin-top:6.pt;width:105.85000000000001pt;height:19.900000000000002pt;z-index:-125829369;mso-wrap-distance-left:0;mso-wrap-distance-top: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86" behindDoc="0" locked="0" layoutInCell="1" allowOverlap="1">
            <wp:simplePos x="0" y="0"/>
            <wp:positionH relativeFrom="page">
              <wp:posOffset>3065145</wp:posOffset>
            </wp:positionH>
            <wp:positionV relativeFrom="paragraph">
              <wp:posOffset>149225</wp:posOffset>
            </wp:positionV>
            <wp:extent cx="359410" cy="52451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554355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60000000000002pt;margin-top:4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3485515</wp:posOffset>
                </wp:positionH>
                <wp:positionV relativeFrom="paragraph">
                  <wp:posOffset>237490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4.44999999999999pt;margin-top:18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41630" distL="0" distR="0" simplePos="0" relativeHeight="125829387" behindDoc="0" locked="0" layoutInCell="1" allowOverlap="1">
                <wp:simplePos x="0" y="0"/>
                <wp:positionH relativeFrom="page">
                  <wp:posOffset>6045835</wp:posOffset>
                </wp:positionH>
                <wp:positionV relativeFrom="paragraph">
                  <wp:posOffset>76200</wp:posOffset>
                </wp:positionV>
                <wp:extent cx="1121410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6.05000000000001pt;margin-top:6.pt;width:88.299999999999997pt;height:19.900000000000002pt;z-index:-125829366;mso-wrap-distance-left:0;mso-wrap-distance-top: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A2A2A"/>
        </w:rPr>
        <w:t xml:space="preserve">№ </w:t>
      </w:r>
      <w:r>
        <w:rPr>
          <w:rStyle w:val="CharStyle24"/>
          <w:lang w:val="en-US" w:eastAsia="en-US"/>
        </w:rPr>
        <w:t>00FDA1C988AAB27A9A34756B8D5F1D853</w:t>
      </w:r>
      <w:r>
        <w:rPr>
          <w:rStyle w:val="CharStyle24"/>
          <w:lang w:val="en-US" w:eastAsia="en-US"/>
        </w:rPr>
        <w:t>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4"/>
        </w:rPr>
        <w:t xml:space="preserve">Действителен с 22.07.2025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2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3065145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60000000000002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3485515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4.44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Хлебникова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ХЛЕБНИКОВА АНАСТАСИЯ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A2A2A"/>
        </w:rPr>
        <w:t xml:space="preserve">№ </w:t>
      </w:r>
      <w:r>
        <w:rPr>
          <w:rStyle w:val="CharStyle24"/>
          <w:lang w:val="en-US" w:eastAsia="en-US"/>
        </w:rPr>
        <w:t>00BDC586F2C22E8641</w:t>
      </w:r>
      <w:r>
        <w:rPr>
          <w:rStyle w:val="CharStyle24"/>
        </w:rPr>
        <w:t>81858031</w:t>
      </w:r>
      <w:r>
        <w:rPr>
          <w:rStyle w:val="CharStyle24"/>
          <w:lang w:val="en-US" w:eastAsia="en-US"/>
        </w:rPr>
        <w:t>D</w:t>
      </w:r>
      <w:r>
        <w:rPr>
          <w:rStyle w:val="CharStyle24"/>
        </w:rPr>
        <w:t>1</w:t>
      </w:r>
      <w:r>
        <w:rPr>
          <w:rStyle w:val="CharStyle24"/>
          <w:color w:val="2A2A2A"/>
        </w:rPr>
        <w:t>6А11</w:t>
      </w:r>
      <w:r>
        <w:rPr>
          <w:rStyle w:val="CharStyle24"/>
        </w:rPr>
        <w:t>13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400" w:line="240" w:lineRule="auto"/>
        <w:ind w:right="0" w:firstLine="0"/>
        <w:jc w:val="left"/>
      </w:pPr>
      <w:r>
        <w:rPr>
          <w:rStyle w:val="CharStyle24"/>
        </w:rPr>
        <w:t>Действителен с 31.1</w:t>
      </w:r>
      <w:r>
        <w:rPr>
          <w:rStyle w:val="CharStyle24"/>
          <w:color w:val="5D5D5D"/>
        </w:rPr>
        <w:t xml:space="preserve">0.2025 по </w:t>
      </w:r>
      <w:r>
        <w:rPr>
          <w:rStyle w:val="CharStyle24"/>
          <w:color w:val="2A2A2A"/>
        </w:rPr>
        <w:t>24.01</w:t>
      </w:r>
      <w:r>
        <w:rPr>
          <w:rStyle w:val="CharStyle24"/>
        </w:rPr>
        <w:t>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5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32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2026-23328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05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10247630</wp:posOffset>
              </wp:positionV>
              <wp:extent cx="731520" cy="9144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2026-23328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6.89999999999998pt;width:57.600000000000001pt;height:7.2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2026-23328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050000000000004pt;margin-top:794.70000000000005pt;width:56.899999999999999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411480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0000000000001pt;margin-top:32.399999999999999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40.100000000000001pt;width:5.5pt;height:5.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411480</wp:posOffset>
              </wp:positionV>
              <wp:extent cx="76200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80000000000001pt;margin-top:32.399999999999999pt;width:6.pt;height:5.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10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