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85" w:right="536" w:bottom="885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2,05.2026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ИБ/9505/26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3"/>
        </w:rPr>
        <w:t xml:space="preserve">ООО "РТС-тендер"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3"/>
          <w:lang w:val="en-US" w:eastAsia="en-US"/>
        </w:rPr>
        <w:t>info@rts-tender.ru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3"/>
          <w:lang w:val="en-US" w:eastAsia="en-US"/>
        </w:rPr>
        <w:t>ko@rts-tender.ru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3"/>
        </w:rPr>
        <w:t xml:space="preserve">ОБЩЕСТВО С ОГРАНИЧЕННОЙ ОТВЕТСТВЕННОСТЬЮ "МЕДЕКА" </w:t>
      </w:r>
      <w:r>
        <w:fldChar w:fldCharType="begin"/>
      </w:r>
      <w:r>
        <w:rPr/>
        <w:instrText> HYPERLINK "mailto:tender@medeka.ru" </w:instrText>
      </w:r>
      <w:r>
        <w:fldChar w:fldCharType="separate"/>
      </w:r>
      <w:r>
        <w:rPr>
          <w:rStyle w:val="CharStyle13"/>
          <w:lang w:val="en-US" w:eastAsia="en-US"/>
        </w:rPr>
        <w:t>tender@medeka.ru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1160" w:bottom="2345" w:left="1135" w:header="0" w:footer="3" w:gutter="0"/>
          <w:cols w:num="2" w:space="936"/>
          <w:noEndnote/>
          <w:rtlGutter w:val="0"/>
          <w:docGrid w:linePitch="360"/>
        </w:sectPr>
      </w:pPr>
      <w:r>
        <w:rPr>
          <w:rStyle w:val="CharStyle13"/>
        </w:rPr>
        <w:t xml:space="preserve">Отделение Фонда пенсионного и социального страхования Российской Федерации по Нижегородской области </w:t>
      </w:r>
      <w:r>
        <w:fldChar w:fldCharType="begin"/>
      </w:r>
      <w:r>
        <w:rPr/>
        <w:instrText> HYPERLINK "mailto:zakupki@062.pfr.ru" </w:instrText>
      </w:r>
      <w:r>
        <w:fldChar w:fldCharType="separate"/>
      </w:r>
      <w:r>
        <w:rPr>
          <w:rStyle w:val="CharStyle13"/>
          <w:lang w:val="en-US" w:eastAsia="en-US"/>
        </w:rPr>
        <w:t>zakupki@062.pfr.ru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70" w:right="0" w:bottom="171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</w:t>
        <w:br/>
        <w:t>№ 052/06/105-1129/2026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40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197610" cy="23177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07 мая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1.pt;width:94.299999999999997pt;height:18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07 мая 2026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280160" cy="61277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612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Баранова И.В.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Колденкова Д.А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Лебедевой Ю.К.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800000000000004pt;margin-top:1.pt;width:100.8pt;height:48.2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Баранова И.В.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Колденкова Д.А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Лебедевой Ю.К.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члена комиссии, специалиста-эксперта отдела контроля торгов,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6" w:val="left"/>
        </w:tabs>
        <w:bidi w:val="0"/>
        <w:spacing w:before="0" w:after="260" w:line="240" w:lineRule="auto"/>
        <w:ind w:left="260" w:right="0" w:hanging="260"/>
        <w:jc w:val="both"/>
      </w:pPr>
      <w:r>
        <w:rPr>
          <w:rStyle w:val="CharStyle13"/>
        </w:rPr>
        <w:t>члена комиссии, специалиста-эксперта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3"/>
        </w:rPr>
        <w:t>при участии посредством видео-конференц-связи: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2520" w:right="0" w:hanging="2520"/>
        <w:jc w:val="both"/>
      </w:pPr>
      <w:r>
        <w:rPr>
          <w:rStyle w:val="CharStyle13"/>
        </w:rPr>
        <w:t>Пугачевой И.М. - представителя ОСФР по Нижегородской области по доверенности от 04.05.2026 № 15-04/90,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2520" w:right="0" w:hanging="2520"/>
        <w:jc w:val="both"/>
      </w:pPr>
      <w:r>
        <w:rPr>
          <w:rStyle w:val="CharStyle13"/>
        </w:rPr>
        <w:t>Подтелковой В.Н. - представителя ООО «Медека» по доверенности от 08.10.2025 № 112-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520" w:right="0" w:firstLine="0"/>
        <w:jc w:val="both"/>
      </w:pPr>
      <w:r>
        <w:rPr>
          <w:rStyle w:val="CharStyle13"/>
        </w:rPr>
        <w:t>ДБН-МД/2025,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3"/>
        </w:rPr>
        <w:t>рассмотрев посредством видео-конференц-связи жалобу общества с ограниченной ответственностью «Медека» (далее также – ООО «Медека», заявитель) о нарушении Отделением Фонда пенсионного и социального страхования Российской Федерации по Нижегородской области (далее – ОСФР по Нижегородской области, заказчик) требований законодательства Российской Федерации о контрактной системе в сфере закупок при определении поставщика путем проведения запроса котировок в электронной форме на право заключения контракта по объекту закупки: «Поставка в 2026 году специальных средств при нарушении функции выделения для обеспечения инвалидов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3"/>
        </w:rPr>
        <w:t xml:space="preserve">(Двухкомпонентный дренируемый калоприемник в комплекте: адгезивная пластина, плоская, мешок дренируемый; Двухкомпонентный дренируемый калоприемник для втянутых стом в комплекте: адгезивная пластина, конвексная, мешок дренируемый)», номер извещения </w:t>
      </w:r>
      <w:r>
        <w:rPr>
          <w:rStyle w:val="CharStyle13"/>
          <w:lang w:val="en-US" w:eastAsia="en-US"/>
        </w:rPr>
        <w:t>0332100043426000086,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электронного аукциона на право заключения контракта по объекту закупки: «Поставка в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 xml:space="preserve">году специальных средств при нарушении функции выделения для обеспечения инвалидов (Двухкомпонентный дренируемый калоприемник в комплекте: адгезивная пластина, плоская, мешок дренируемый; Двухкомпонентный дренируемый калоприемник для втянутых стом в комплекте: адгезивная пластина, конвексная, мешок дренируемый)», номер извещения </w:t>
      </w:r>
      <w:r>
        <w:rPr>
          <w:rStyle w:val="CharStyle13"/>
          <w:lang w:val="en-US" w:eastAsia="en-US"/>
        </w:rPr>
        <w:t>0332100043426000086.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Представитель заказчика на заседании Комиссии Нижегородского УФАС России с доводами, изложенными в жалобе заявителя, не согласился, факт нарушений требований Закона о контрактной системе не признал, считает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  <w:lang w:val="en-US" w:eastAsia="en-US"/>
        </w:rPr>
        <w:t xml:space="preserve">21.04.2026 </w:t>
      </w:r>
      <w:r>
        <w:rPr>
          <w:rStyle w:val="CharStyle13"/>
        </w:rPr>
        <w:t xml:space="preserve">в единой информационной системе и на сайте оператора электронной площадки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РТС-тендер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размещено извещение по объекту закупки: «Поставка в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 xml:space="preserve">году специальных средств при нарушении функции выделения для обеспечения инвалидов (Двухкомпонентный дренируемый калоприемник в комплекте: адгезивная пластина, плоская, мешок дренируемый; Двухкомпонентный дренируемый калоприемник для втянутых стом в комплекте: адгезивная пластина, конвексная, мешок дренируемый)», номер извещения </w:t>
      </w:r>
      <w:r>
        <w:rPr>
          <w:rStyle w:val="CharStyle13"/>
          <w:lang w:val="en-US" w:eastAsia="en-US"/>
        </w:rPr>
        <w:t>0332100043426000086.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— 3 072 996,40 </w:t>
      </w:r>
      <w:r>
        <w:rPr>
          <w:rStyle w:val="CharStyle13"/>
        </w:rPr>
        <w:t>руб.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Заявителем в жалобе указано, что наблюдается одновременное параллельное исполнение двух государственных контрактов.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Закона о контрактной системе данный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3"/>
        </w:rPr>
        <w:t xml:space="preserve">В силу статьи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>Закона о контрактной системе контрактная система в сфере 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>Закона о контрактной системе установлено,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>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 любых действий, которые противоречат требованиям названного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предусмотрено,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В силу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названной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Описание объекта закупки размещено в ЕИС в структурированном виде и в формате электронного документа.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Согласно письменным пояснениям Заказчика в соответствии с Федеральным законом от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 xml:space="preserve">ноября </w:t>
      </w:r>
      <w:r>
        <w:rPr>
          <w:rStyle w:val="CharStyle13"/>
          <w:lang w:val="en-US" w:eastAsia="en-US"/>
        </w:rPr>
        <w:t xml:space="preserve">1995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181-ФЗ «О социальной защите инвалидов в Российской Федерации»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Федеральный закон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181-ФЗ) и 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 xml:space="preserve">апреля </w:t>
      </w:r>
      <w:r>
        <w:rPr>
          <w:rStyle w:val="CharStyle13"/>
          <w:lang w:val="en-US" w:eastAsia="en-US"/>
        </w:rPr>
        <w:t xml:space="preserve">2008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№ 240 </w:t>
      </w:r>
      <w:r>
        <w:rPr>
          <w:rStyle w:val="CharStyle13"/>
        </w:rPr>
        <w:t xml:space="preserve">«О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Правила </w:t>
      </w:r>
      <w:r>
        <w:rPr>
          <w:rStyle w:val="CharStyle13"/>
          <w:lang w:val="en-US" w:eastAsia="en-US"/>
        </w:rPr>
        <w:t xml:space="preserve">№ 240) </w:t>
      </w:r>
      <w:r>
        <w:rPr>
          <w:rStyle w:val="CharStyle13"/>
        </w:rPr>
        <w:t>территориальные органы Фонда пенсионного и социального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страхования Российской Федерации осуществляют обеспечение инвалидов и ветеранов техническими средствами реабилитации.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Данные средства реабилитации являются изделиями, ежедневно используемыми инвалидами при нарушении функции выделения, и работа территориальных органов СФР, выступающих в роли Государственного заказчика, ориентирована, в первую очередь, на удовлетворение потребностей инвалидов, а значит, на закупку качественных изделий, которые могут обеспечить компенсацию ограничений жизнедеятельности и надлежащий реабилитационный эффект.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В соответствии с п.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Правил </w:t>
      </w:r>
      <w:r>
        <w:rPr>
          <w:rStyle w:val="CharStyle13"/>
          <w:lang w:val="en-US" w:eastAsia="en-US"/>
        </w:rPr>
        <w:t xml:space="preserve">№ 240 </w:t>
      </w:r>
      <w:r>
        <w:rPr>
          <w:rStyle w:val="CharStyle13"/>
        </w:rPr>
        <w:t xml:space="preserve">при отсутствии действующего государственного контракта на обеспечение инвалида (ветерана) техническим средством (изделием) в соответствии с заявлением, указанным в пункте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настоящих Правил, уполномоченный орган высылает (выдает) инвалиду (ветерану) документы, предусмотренные настоящим пунктом, в течение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рабочих дней со дня заключения такого государственного контракта и после подтверждения уполномоченным органом соответствия технического средства (изделия) условиям такого государственного контракта. При этом извещение о проведении закупки соответствующего технического средства (изделия) должно быть размещено уполномоченным органом в единой информационной системе в сфере закупок не позднее </w:t>
      </w:r>
      <w:r>
        <w:rPr>
          <w:rStyle w:val="CharStyle13"/>
          <w:lang w:val="en-US" w:eastAsia="en-US"/>
        </w:rPr>
        <w:t xml:space="preserve">30 </w:t>
      </w:r>
      <w:r>
        <w:rPr>
          <w:rStyle w:val="CharStyle13"/>
        </w:rPr>
        <w:t xml:space="preserve">календарных дней со дня регистрации заявления, указанного в пункте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>Правил.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При этом в соответствии с частью </w:t>
      </w:r>
      <w:r>
        <w:rPr>
          <w:rStyle w:val="CharStyle13"/>
          <w:lang w:val="en-US" w:eastAsia="en-US"/>
        </w:rPr>
        <w:t xml:space="preserve">11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34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апреля </w:t>
      </w:r>
      <w:r>
        <w:rPr>
          <w:rStyle w:val="CharStyle13"/>
          <w:lang w:val="en-US" w:eastAsia="en-US"/>
        </w:rPr>
        <w:t xml:space="preserve">2013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N </w:t>
      </w:r>
      <w:r>
        <w:rPr>
          <w:rStyle w:val="CharStyle13"/>
        </w:rPr>
        <w:t xml:space="preserve">44-ФЗ "О контрактной системе в сфере закупок товаров, работ, услуг для обеспечения государственных и муниципальных нужд"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Закон о контрактной системе) приказом Минтруда России от </w:t>
      </w:r>
      <w:r>
        <w:rPr>
          <w:rStyle w:val="CharStyle13"/>
          <w:lang w:val="en-US" w:eastAsia="en-US"/>
        </w:rPr>
        <w:t xml:space="preserve">11.03.2019 N </w:t>
      </w:r>
      <w:r>
        <w:rPr>
          <w:rStyle w:val="CharStyle13"/>
        </w:rPr>
        <w:t>144н утвержден типовой контракт на поставку отдельных видов технических средств реабилитации серийного производства, не требующих индивидуального изготовления, предусмотренных федеральным перечнем реабилитационных мероприятий, технических средств реабилитации и услуг, предоставляемых инвалиду, и информационной карты типового контракта на поставку отдельных видов технических средств реабилитации серийного производства, не требующих индивидуального изготовления, предусмотренных федеральным перечнем реабилитационных мероприятий, технических средств реабилитации и услуг, предоставляемых инвалиду.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Для закупки по извещению </w:t>
      </w:r>
      <w:r>
        <w:rPr>
          <w:rStyle w:val="CharStyle13"/>
          <w:lang w:val="en-US" w:eastAsia="en-US"/>
        </w:rPr>
        <w:t xml:space="preserve">№ 0332100043426000086 </w:t>
      </w:r>
      <w:r>
        <w:rPr>
          <w:rStyle w:val="CharStyle13"/>
        </w:rPr>
        <w:t xml:space="preserve">потребность Заказчиком рассчитана в объеме, необходимом для обеспечения инвалидов до конца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 xml:space="preserve">года, со сроком действия государственного контракта до </w:t>
      </w:r>
      <w:r>
        <w:rPr>
          <w:rStyle w:val="CharStyle13"/>
          <w:lang w:val="en-US" w:eastAsia="en-US"/>
        </w:rPr>
        <w:t xml:space="preserve">10.12.2026 </w:t>
      </w:r>
      <w:r>
        <w:rPr>
          <w:rStyle w:val="CharStyle13"/>
        </w:rPr>
        <w:t xml:space="preserve">и поставкой товара Получателям до </w:t>
      </w:r>
      <w:r>
        <w:rPr>
          <w:rStyle w:val="CharStyle13"/>
          <w:lang w:val="en-US" w:eastAsia="en-US"/>
        </w:rPr>
        <w:t xml:space="preserve">02.11.2026 </w:t>
      </w:r>
      <w:r>
        <w:rPr>
          <w:rStyle w:val="CharStyle13"/>
        </w:rPr>
        <w:t xml:space="preserve">(текущая потребность начиная с мая 2026г. и потребность </w:t>
      </w:r>
      <w:r>
        <w:rPr>
          <w:rStyle w:val="CharStyle13"/>
          <w:lang w:val="en-US" w:eastAsia="en-US"/>
        </w:rPr>
        <w:t xml:space="preserve">II-го </w:t>
      </w:r>
      <w:r>
        <w:rPr>
          <w:rStyle w:val="CharStyle13"/>
        </w:rPr>
        <w:t>полугодия 2026г.).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По окончании срока подачи заявок подана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заявка, признанная соответствующей требованиям извещения об осуществлении закупки. </w:t>
      </w:r>
      <w:r>
        <w:rPr>
          <w:rStyle w:val="CharStyle13"/>
          <w:lang w:val="en-US" w:eastAsia="en-US"/>
        </w:rPr>
        <w:t xml:space="preserve">04.05.2026 </w:t>
      </w:r>
      <w:r>
        <w:rPr>
          <w:rStyle w:val="CharStyle13"/>
        </w:rPr>
        <w:t xml:space="preserve">Заказчиком размещен протокол подведения итогов определения поставщика (подрядчика, исполнителя) по закупке </w:t>
      </w:r>
      <w:r>
        <w:rPr>
          <w:rStyle w:val="CharStyle13"/>
          <w:lang w:val="en-US" w:eastAsia="en-US"/>
        </w:rPr>
        <w:t xml:space="preserve">0332100043426000086. </w:t>
      </w:r>
      <w:r>
        <w:rPr>
          <w:rStyle w:val="CharStyle13"/>
        </w:rPr>
        <w:t>По результатам подведения итогов определения поставщика (подрядчика, исполнителя) победителем электронного запроса котировок был признан участник закупки ООО «Медека».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При этом есть действующий государственный контракт от </w:t>
      </w:r>
      <w:r>
        <w:rPr>
          <w:rStyle w:val="CharStyle13"/>
          <w:lang w:val="en-US" w:eastAsia="en-US"/>
        </w:rPr>
        <w:t xml:space="preserve">03.03.2026 № 267, </w:t>
      </w:r>
      <w:r>
        <w:rPr>
          <w:rStyle w:val="CharStyle13"/>
        </w:rPr>
        <w:t xml:space="preserve">заключенный заказчиком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ОСФР по Республике Башкортостан с ООО «Медека» (реестровый номер в ЕИС </w:t>
      </w:r>
      <w:r>
        <w:rPr>
          <w:rStyle w:val="CharStyle13"/>
          <w:lang w:val="en-US" w:eastAsia="en-US"/>
        </w:rPr>
        <w:t xml:space="preserve">№ 1027805535526000181). </w:t>
      </w:r>
      <w:r>
        <w:rPr>
          <w:rStyle w:val="CharStyle13"/>
        </w:rPr>
        <w:t xml:space="preserve">Срок действия государственного контракта до </w:t>
      </w:r>
      <w:r>
        <w:rPr>
          <w:rStyle w:val="CharStyle13"/>
          <w:lang w:val="en-US" w:eastAsia="en-US"/>
        </w:rPr>
        <w:t xml:space="preserve">30.09.2026, </w:t>
      </w:r>
      <w:r>
        <w:rPr>
          <w:rStyle w:val="CharStyle13"/>
        </w:rPr>
        <w:t xml:space="preserve">срок поставки товара Получателям до </w:t>
      </w:r>
      <w:r>
        <w:rPr>
          <w:rStyle w:val="CharStyle13"/>
          <w:lang w:val="en-US" w:eastAsia="en-US"/>
        </w:rPr>
        <w:t xml:space="preserve">01.08.2026 </w:t>
      </w:r>
      <w:r>
        <w:rPr>
          <w:rStyle w:val="CharStyle13"/>
        </w:rPr>
        <w:t>(потребность на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полугодие 2026г.)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соответствии с Календарным планом, являющимся приложением </w:t>
      </w:r>
      <w:r>
        <w:rPr>
          <w:rStyle w:val="CharStyle13"/>
          <w:lang w:val="en-US" w:eastAsia="en-US"/>
        </w:rPr>
        <w:t xml:space="preserve">№3 </w:t>
      </w:r>
      <w:r>
        <w:rPr>
          <w:rStyle w:val="CharStyle13"/>
        </w:rPr>
        <w:t xml:space="preserve">к государственному контракту </w:t>
      </w:r>
      <w:r>
        <w:rPr>
          <w:rStyle w:val="CharStyle13"/>
          <w:lang w:val="en-US" w:eastAsia="en-US"/>
        </w:rPr>
        <w:t xml:space="preserve">№ 267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03.03.2026, </w:t>
      </w:r>
      <w:r>
        <w:rPr>
          <w:rStyle w:val="CharStyle13"/>
        </w:rPr>
        <w:t xml:space="preserve">определены периоды поставки товара на склад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«В объеме </w:t>
      </w:r>
      <w:r>
        <w:rPr>
          <w:rStyle w:val="CharStyle13"/>
          <w:lang w:val="en-US" w:eastAsia="en-US"/>
        </w:rPr>
        <w:t xml:space="preserve">50% </w:t>
      </w:r>
      <w:r>
        <w:rPr>
          <w:rStyle w:val="CharStyle13"/>
        </w:rPr>
        <w:t xml:space="preserve">товара в течение </w:t>
      </w:r>
      <w:r>
        <w:rPr>
          <w:rStyle w:val="CharStyle13"/>
          <w:lang w:val="en-US" w:eastAsia="en-US"/>
        </w:rPr>
        <w:t xml:space="preserve">20 </w:t>
      </w:r>
      <w:r>
        <w:rPr>
          <w:rStyle w:val="CharStyle13"/>
        </w:rPr>
        <w:t xml:space="preserve">рабочих дней со дня вступления в силу государственного контракта, но не ранее </w:t>
      </w:r>
      <w:r>
        <w:rPr>
          <w:rStyle w:val="CharStyle13"/>
          <w:lang w:val="en-US" w:eastAsia="en-US"/>
        </w:rPr>
        <w:t xml:space="preserve">15.01.2026 </w:t>
      </w:r>
      <w:r>
        <w:rPr>
          <w:rStyle w:val="CharStyle13"/>
        </w:rPr>
        <w:t xml:space="preserve">года. Оставшийся объем товара: до </w:t>
      </w:r>
      <w:r>
        <w:rPr>
          <w:rStyle w:val="CharStyle13"/>
          <w:lang w:val="en-US" w:eastAsia="en-US"/>
        </w:rPr>
        <w:t xml:space="preserve">15.04.2026 </w:t>
      </w:r>
      <w:r>
        <w:rPr>
          <w:rStyle w:val="CharStyle13"/>
        </w:rPr>
        <w:t xml:space="preserve">года. При этом по каждой позиции спецификации объем поставляемого товара в субъекты Российской Федерации должен составлять </w:t>
      </w:r>
      <w:r>
        <w:rPr>
          <w:rStyle w:val="CharStyle13"/>
          <w:lang w:val="en-US" w:eastAsia="en-US"/>
        </w:rPr>
        <w:t>50%».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Однако, по состоянию на </w:t>
      </w:r>
      <w:r>
        <w:rPr>
          <w:rStyle w:val="CharStyle13"/>
          <w:lang w:val="en-US" w:eastAsia="en-US"/>
        </w:rPr>
        <w:t xml:space="preserve">06.05.2026 </w:t>
      </w:r>
      <w:r>
        <w:rPr>
          <w:rStyle w:val="CharStyle13"/>
        </w:rPr>
        <w:t xml:space="preserve">товар в регион Поставщиком не поставлен Срок поставки товара в регион истек </w:t>
      </w:r>
      <w:r>
        <w:rPr>
          <w:rStyle w:val="CharStyle13"/>
          <w:lang w:val="en-US" w:eastAsia="en-US"/>
        </w:rPr>
        <w:t xml:space="preserve">01.04.2026 </w:t>
      </w:r>
      <w:r>
        <w:rPr>
          <w:rStyle w:val="CharStyle13"/>
        </w:rPr>
        <w:t xml:space="preserve">(в объеме </w:t>
      </w:r>
      <w:r>
        <w:rPr>
          <w:rStyle w:val="CharStyle13"/>
          <w:lang w:val="en-US" w:eastAsia="en-US"/>
        </w:rPr>
        <w:t xml:space="preserve">50%)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15.04.2026 </w:t>
      </w:r>
      <w:r>
        <w:rPr>
          <w:rStyle w:val="CharStyle13"/>
        </w:rPr>
        <w:t xml:space="preserve">(оставшийся объем). В результате непоставки товара Поставщиком инвалиды не обеспечены техническими средствами реабилитации. В случае поставки товара в регион по государственному контракту от </w:t>
      </w:r>
      <w:r>
        <w:rPr>
          <w:rStyle w:val="CharStyle13"/>
          <w:lang w:val="en-US" w:eastAsia="en-US"/>
        </w:rPr>
        <w:t xml:space="preserve">03.03.2026 № 267 </w:t>
      </w:r>
      <w:r>
        <w:rPr>
          <w:rStyle w:val="CharStyle13"/>
        </w:rPr>
        <w:t xml:space="preserve">и заключению государственного контракта по извещению </w:t>
      </w:r>
      <w:r>
        <w:rPr>
          <w:rStyle w:val="CharStyle13"/>
          <w:lang w:val="en-US" w:eastAsia="en-US"/>
        </w:rPr>
        <w:t xml:space="preserve">№ 0332100043426000086, </w:t>
      </w:r>
      <w:r>
        <w:rPr>
          <w:rStyle w:val="CharStyle13"/>
        </w:rPr>
        <w:t xml:space="preserve">в целях полного обеспечения инвалидов в соответствии с действующими ИПРА, выдача направлений на обеспечение ТСР Получателям будет производиться в соответствии с п.5 Правил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утверждённых 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07.04.2008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№ 240 </w:t>
      </w:r>
      <w:r>
        <w:rPr>
          <w:rStyle w:val="CharStyle13"/>
        </w:rPr>
        <w:t>и условиями государственных контрактов.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Так, в соответствии с п. </w:t>
      </w:r>
      <w:r>
        <w:rPr>
          <w:rStyle w:val="CharStyle13"/>
          <w:lang w:val="en-US" w:eastAsia="en-US"/>
        </w:rPr>
        <w:t xml:space="preserve">3.1.3. </w:t>
      </w:r>
      <w:r>
        <w:rPr>
          <w:rStyle w:val="CharStyle13"/>
        </w:rPr>
        <w:t xml:space="preserve">типового контракта Заказчик обязан в срок не более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рабочих дней с даты подписания акта выборочной проверки поставляемого Товара (приложение </w:t>
      </w:r>
      <w:r>
        <w:rPr>
          <w:rStyle w:val="CharStyle13"/>
          <w:lang w:val="en-US" w:eastAsia="en-US"/>
        </w:rPr>
        <w:t xml:space="preserve">№ 5 </w:t>
      </w:r>
      <w:r>
        <w:rPr>
          <w:rStyle w:val="CharStyle13"/>
        </w:rPr>
        <w:t>к Контракту), передать Поставщику реестры получателей Товара, которым Заказчик выдал направления.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Количество направлений для получения Товара, выдаваемых Заказчиком, не должно превышать количества Товара, поступившего в субъекты Российской Федерации, указанного в пункте </w:t>
      </w:r>
      <w:r>
        <w:rPr>
          <w:rStyle w:val="CharStyle13"/>
          <w:lang w:val="en-US" w:eastAsia="en-US"/>
        </w:rPr>
        <w:t xml:space="preserve">1.1 </w:t>
      </w:r>
      <w:r>
        <w:rPr>
          <w:rStyle w:val="CharStyle13"/>
        </w:rPr>
        <w:t>Контракта, в соответствии с календарным планом.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Последующее направление реестров получателей Товара осуществляется Заказчиком по мере возникновения потребности, но не ранее подписания акта выборочной проверки поставляемого Товара, поступившего в субъекты Российской Федерации, указанные в пункте </w:t>
      </w:r>
      <w:r>
        <w:rPr>
          <w:rStyle w:val="CharStyle13"/>
          <w:lang w:val="en-US" w:eastAsia="en-US"/>
        </w:rPr>
        <w:t xml:space="preserve">1.1 </w:t>
      </w:r>
      <w:r>
        <w:rPr>
          <w:rStyle w:val="CharStyle13"/>
        </w:rPr>
        <w:t>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соответствии с проектом контракта (приложение к извещению </w:t>
      </w:r>
      <w:r>
        <w:rPr>
          <w:rStyle w:val="CharStyle13"/>
          <w:lang w:val="en-US" w:eastAsia="en-US"/>
        </w:rPr>
        <w:t xml:space="preserve">№ 0332100043426000086) </w:t>
      </w:r>
      <w:r>
        <w:rPr>
          <w:rStyle w:val="CharStyle13"/>
        </w:rPr>
        <w:t xml:space="preserve">календарным планом установлен период поставки в Нижегородскую область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в течение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>(пяти) рабочих дней с даты подписания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случае поставки товара в субъект РФ по контракту </w:t>
      </w:r>
      <w:r>
        <w:rPr>
          <w:rStyle w:val="CharStyle13"/>
          <w:lang w:val="en-US" w:eastAsia="en-US"/>
        </w:rPr>
        <w:t xml:space="preserve">№ 267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03.03.2026 </w:t>
      </w:r>
      <w:r>
        <w:rPr>
          <w:rStyle w:val="CharStyle13"/>
        </w:rPr>
        <w:t>планируется выписка направлений и передача реестров на весь объем поставленного товара (выдача реестров) по данному контракту.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Таким образом, по государственному контракту от </w:t>
      </w:r>
      <w:r>
        <w:rPr>
          <w:rStyle w:val="CharStyle13"/>
          <w:lang w:val="en-US" w:eastAsia="en-US"/>
        </w:rPr>
        <w:t xml:space="preserve">03.03.2026 № 267 </w:t>
      </w:r>
      <w:r>
        <w:rPr>
          <w:rStyle w:val="CharStyle13"/>
        </w:rPr>
        <w:t xml:space="preserve">будет осуществлена выдача реестров в соответствии с существующей потребностью на дату поставки товара в регион. По государственному контракту, заключенному ОСФР по Нижегородской области по результатам закупки </w:t>
      </w:r>
      <w:r>
        <w:rPr>
          <w:rStyle w:val="CharStyle13"/>
          <w:lang w:val="en-US" w:eastAsia="en-US"/>
        </w:rPr>
        <w:t xml:space="preserve">№ 0332100043426000086 </w:t>
      </w:r>
      <w:r>
        <w:rPr>
          <w:rStyle w:val="CharStyle13"/>
        </w:rPr>
        <w:t xml:space="preserve">обеспечиваться будут получатели, которым рекомендовано органами МСЭ обеспечение техническими средствами реабилитации впервые, а также все получатели, которым будет рекомендовано обеспечение ТСР после окончания срока поставки товара получателям по контракту </w:t>
      </w:r>
      <w:r>
        <w:rPr>
          <w:rStyle w:val="CharStyle13"/>
          <w:lang w:val="en-US" w:eastAsia="en-US"/>
        </w:rPr>
        <w:t xml:space="preserve">№ 267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>03.03.2026.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В части доводов жалобы о дополнительных расходах со стороны поставщика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Заказчиком указано, что, принимая решение об участии в процедуре закупки для государственных нужд, Поставщик, как субъект предпринимательской деятельности, несет риск наступления неблагоприятных последствий, предусмотренных Законом о контрактной системе, в случае совершения им действий (бездействия) в противоречие его требованиям Действуя в рамках заключения и исполнения государственного контракта, участник закупки должен осознавать, что вступает в правоотношения по расходованию бюджетных средств на социально-значимые цели, что требует от него большей степени ответственности при исполнении своих обязанностей.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Согласно Письму Министерства труда и социальной защиты Российской Федерации от </w:t>
      </w:r>
      <w:r>
        <w:rPr>
          <w:rStyle w:val="CharStyle13"/>
          <w:lang w:val="en-US" w:eastAsia="en-US"/>
        </w:rPr>
        <w:t xml:space="preserve">24.06.2015 № </w:t>
      </w:r>
      <w:r>
        <w:rPr>
          <w:rStyle w:val="CharStyle13"/>
        </w:rPr>
        <w:t>13-3/10/В-4473, обеспечение инвалидов техническими средствами реабилитации, в том числе абсорбирующим бельем, подгузниками и специальными средствами при нарушении функции выделения за прошлый период не предусмотрено действующими нормативными правовыми актами, ввиду невозможности их одновременного использования в случае получения этих средств реабилитации за текущий и прошлый периоды.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Кроме того, пунктом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Правил </w:t>
      </w:r>
      <w:r>
        <w:rPr>
          <w:rStyle w:val="CharStyle13"/>
          <w:lang w:val="en-US" w:eastAsia="en-US"/>
        </w:rPr>
        <w:t xml:space="preserve">№ 240 </w:t>
      </w:r>
      <w:r>
        <w:rPr>
          <w:rStyle w:val="CharStyle13"/>
        </w:rPr>
        <w:t>предусмотрены способы обеспечения получателей техническими средствами реабилитации (в том числе натуральное обеспечение, электронный сертификат). Инвалиды могут самостоятельно выбирать наиболее подходящий для них способ обеспечения ТСР. В случае обеспечения получателей ТСР путем формирования электронного сертификата для приобретения ТСР у Заказчика может возникнуть ситуация отсутствия потребности в объеме, предусмотренном государственным контрактом.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С учетом изложенного Комиссия Нижегородского УФАС России признает довод жалобы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Представитель Заявителя на заседание Комиссии не представил документы и сведения, позволяющие Комиссии прийти к выводу о нарушении прав и законных интересов Заявителя.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Таким образом, жалоба признана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rStyle w:val="CharStyle13"/>
        </w:rPr>
        <w:t xml:space="preserve">С учетом изложенного, руководствуясь 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60"/>
        <w:jc w:val="both"/>
      </w:pPr>
      <w:r>
        <w:rPr>
          <w:rStyle w:val="CharStyle13"/>
          <w:lang w:val="en-US" w:eastAsia="en-US"/>
        </w:rPr>
        <w:t xml:space="preserve">1. </w:t>
      </w:r>
      <w:r>
        <w:rPr>
          <w:rStyle w:val="CharStyle13"/>
        </w:rPr>
        <w:t xml:space="preserve">Признать жалобу общества с ограниченной ответственностью «Медека» о нарушении Отделением Фонда пенсионного и социального страхования Российской Федерации по Нижегородской области требований законодательства Российской Федерации о контрактной системе в сфере закупок при определении поставщика путем проведения запроса котировок в электронной форме на право заключения контракта по объекту закупки: «Поставка в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году специальных средств при нарушении функции выделения для обеспечения инвалидов (Двухкомпонентный дренируемый калоприемник в комплекте: адгезивная пластина, плоская, мешок дренируемый; Двухкомпонентный дренируемый калоприемник для втянутых стом в комплекте: адгезивная пластина,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 xml:space="preserve">конвексная, мешок дренируемый)», номер извещения </w:t>
      </w:r>
      <w:r>
        <w:rPr>
          <w:rStyle w:val="CharStyle13"/>
          <w:lang w:val="en-US" w:eastAsia="en-US"/>
        </w:rPr>
        <w:t xml:space="preserve">0332100043426000086, </w:t>
      </w:r>
      <w:r>
        <w:rPr>
          <w:rStyle w:val="CharStyle13"/>
        </w:rPr>
        <w:t>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70" w:right="536" w:bottom="1715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219075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76200</wp:posOffset>
                </wp:positionV>
                <wp:extent cx="1697990" cy="2349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6.pt;width:133.69999999999999pt;height:18.5pt;z-index:-125829371;mso-wrap-distance-left:0;mso-wrap-distance-top: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4465" distB="0" distL="0" distR="1804670" simplePos="0" relativeHeight="125829384" behindDoc="0" locked="0" layoutInCell="1" allowOverlap="1">
            <wp:simplePos x="0" y="0"/>
            <wp:positionH relativeFrom="page">
              <wp:posOffset>3250565</wp:posOffset>
            </wp:positionH>
            <wp:positionV relativeFrom="paragraph">
              <wp:posOffset>164465</wp:posOffset>
            </wp:positionV>
            <wp:extent cx="316865" cy="36576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3646805</wp:posOffset>
                </wp:positionH>
                <wp:positionV relativeFrom="paragraph">
                  <wp:posOffset>234315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7.15000000000003pt;margin-top:18.44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219075" distL="0" distR="0" simplePos="0" relativeHeight="125829385" behindDoc="0" locked="0" layoutInCell="1" allowOverlap="1">
                <wp:simplePos x="0" y="0"/>
                <wp:positionH relativeFrom="page">
                  <wp:posOffset>6259195</wp:posOffset>
                </wp:positionH>
                <wp:positionV relativeFrom="paragraph">
                  <wp:posOffset>76200</wp:posOffset>
                </wp:positionV>
                <wp:extent cx="95377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92.85000000000002pt;margin-top:6.pt;width:75.100000000000009pt;height:18.5pt;z-index:-125829368;mso-wrap-distance-left:0;mso-wrap-distance-top: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Баранов Илья Валерьевич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0D493BB3DAA620D04EE744081508209F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Действителен с 24.09.2025 </w:t>
      </w:r>
      <w:r>
        <w:rPr>
          <w:rStyle w:val="CharStyle20"/>
          <w:color w:val="595959"/>
        </w:rPr>
        <w:t xml:space="preserve">по </w:t>
      </w:r>
      <w:r>
        <w:rPr>
          <w:rStyle w:val="CharStyle20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64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15900" distB="222250" distL="0" distR="0" simplePos="0" relativeHeight="125829387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215900</wp:posOffset>
                </wp:positionV>
                <wp:extent cx="1249680" cy="23177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700000000000003pt;margin-top:17.pt;width:98.400000000000006pt;height:18.25pt;z-index:-125829366;mso-wrap-distance-left:0;mso-wrap-distance-top:17.pt;mso-wrap-distance-right:0;mso-wrap-distance-bottom:17.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04165" distB="0" distL="0" distR="1804670" simplePos="0" relativeHeight="125829389" behindDoc="0" locked="0" layoutInCell="1" allowOverlap="1">
            <wp:simplePos x="0" y="0"/>
            <wp:positionH relativeFrom="page">
              <wp:posOffset>3250565</wp:posOffset>
            </wp:positionH>
            <wp:positionV relativeFrom="paragraph">
              <wp:posOffset>304165</wp:posOffset>
            </wp:positionV>
            <wp:extent cx="316865" cy="36576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3646805</wp:posOffset>
                </wp:positionH>
                <wp:positionV relativeFrom="paragraph">
                  <wp:posOffset>374015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7.15000000000003pt;margin-top:29.4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15900" distB="222250" distL="0" distR="0" simplePos="0" relativeHeight="125829390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215900</wp:posOffset>
                </wp:positionV>
                <wp:extent cx="1124585" cy="23177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Д.А. Колденков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9.15000000000003pt;margin-top:17.pt;width:88.549999999999997pt;height:18.25pt;z-index:-125829363;mso-wrap-distance-left:0;mso-wrap-distance-top:17.pt;mso-wrap-distance-right:0;mso-wrap-distance-bottom:17.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Д.А. Колденков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Колденков Даниил Александрович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00D84EF2E1E1AF1681EC520B87FD3DE73</w:t>
      </w:r>
      <w:r>
        <w:rPr>
          <w:rStyle w:val="CharStyle20"/>
          <w:lang w:val="en-US" w:eastAsia="en-US"/>
        </w:rPr>
        <w:t>E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both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595959"/>
        </w:rPr>
        <w:t>29.08.2025 по 22.1</w:t>
      </w:r>
      <w:r>
        <w:rPr>
          <w:rStyle w:val="CharStyle20"/>
          <w:color w:val="292929"/>
        </w:rPr>
        <w:t>1</w:t>
      </w:r>
      <w:r>
        <w:rPr>
          <w:rStyle w:val="CharStyle20"/>
        </w:rPr>
        <w:t>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040" w:right="0" w:firstLine="0"/>
        <w:jc w:val="left"/>
      </w:pPr>
      <w:r>
        <w:drawing>
          <wp:anchor distT="0" distB="0" distL="114300" distR="1918970" simplePos="0" relativeHeight="125829392" behindDoc="0" locked="0" layoutInCell="1" allowOverlap="1">
            <wp:simplePos x="0" y="0"/>
            <wp:positionH relativeFrom="page">
              <wp:posOffset>3250565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3646805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7.15000000000003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Ю.К. Лебедева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both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Лебедева Юлия Константиновна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00C93FBB7A4557EA64748F1397E15ED90B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940" w:line="240" w:lineRule="auto"/>
        <w:ind w:right="0" w:firstLine="0"/>
        <w:jc w:val="both"/>
      </w:pPr>
      <w:r>
        <w:rPr>
          <w:rStyle w:val="CharStyle20"/>
        </w:rPr>
        <w:t xml:space="preserve">Действителен с 04.09.2025 </w:t>
      </w:r>
      <w:r>
        <w:rPr>
          <w:rStyle w:val="CharStyle20"/>
          <w:color w:val="595959"/>
        </w:rPr>
        <w:t xml:space="preserve">по </w:t>
      </w:r>
      <w:r>
        <w:rPr>
          <w:rStyle w:val="CharStyle20"/>
        </w:rPr>
        <w:t>28.1</w:t>
      </w:r>
      <w:r>
        <w:rPr>
          <w:rStyle w:val="CharStyle20"/>
          <w:color w:val="292929"/>
        </w:rPr>
        <w:t>1</w:t>
      </w:r>
      <w:r>
        <w:rPr>
          <w:rStyle w:val="CharStyle20"/>
        </w:rPr>
        <w:t>.2026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25"/>
        </w:rPr>
        <w:t>тел.8(831)431-73-95, вн.052-301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64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782955</wp:posOffset>
              </wp:positionH>
              <wp:positionV relativeFrom="page">
                <wp:posOffset>10192385</wp:posOffset>
              </wp:positionV>
              <wp:extent cx="707390" cy="7302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39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2026-11165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649999999999999pt;margin-top:802.55000000000007pt;width:55.700000000000003pt;height:5.75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2026-11165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10067925</wp:posOffset>
              </wp:positionV>
              <wp:extent cx="709930" cy="7302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993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2026-11165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92.75pt;width:55.899999999999999pt;height:5.75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2026-11165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749935</wp:posOffset>
              </wp:positionV>
              <wp:extent cx="57785" cy="7302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0000000000002pt;margin-top:59.050000000000004pt;width:4.5499999999999998pt;height:5.7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100"/>
      <w:ind w:left="47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